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A190" w14:textId="77777777" w:rsidR="0084338E" w:rsidRDefault="0084338E">
      <w:pPr>
        <w:widowControl/>
        <w:spacing w:after="0" w:line="240" w:lineRule="auto"/>
        <w:rPr>
          <w:rFonts w:ascii="Times New Roman" w:hAnsi="Times New Roman"/>
          <w:b/>
          <w:sz w:val="24"/>
          <w:szCs w:val="24"/>
          <w:lang w:val="lv-LV"/>
        </w:rPr>
      </w:pPr>
      <w:bookmarkStart w:id="0" w:name="_Hlk71527338"/>
    </w:p>
    <w:p w14:paraId="4ED01CAB" w14:textId="213D0EC4" w:rsidR="0084338E" w:rsidRDefault="00D9370F">
      <w:pPr>
        <w:widowControl/>
        <w:spacing w:after="0" w:line="240" w:lineRule="auto"/>
        <w:ind w:firstLine="5103"/>
        <w:rPr>
          <w:rFonts w:ascii="Times New Roman" w:hAnsi="Times New Roman"/>
          <w:b/>
          <w:sz w:val="26"/>
          <w:szCs w:val="26"/>
          <w:lang w:val="lv-LV"/>
        </w:rPr>
      </w:pPr>
      <w:r>
        <w:rPr>
          <w:rFonts w:ascii="Times New Roman" w:hAnsi="Times New Roman"/>
          <w:b/>
          <w:sz w:val="26"/>
          <w:szCs w:val="26"/>
          <w:lang w:val="lv-LV"/>
        </w:rPr>
        <w:t>patērētāja</w:t>
      </w:r>
    </w:p>
    <w:p w14:paraId="20E89B19" w14:textId="77777777" w:rsidR="0084338E" w:rsidRDefault="00000000">
      <w:pPr>
        <w:widowControl/>
        <w:spacing w:before="240" w:after="0" w:line="240" w:lineRule="auto"/>
        <w:ind w:firstLine="5103"/>
        <w:rPr>
          <w:rFonts w:ascii="Times New Roman" w:eastAsia="Times New Roman" w:hAnsi="Times New Roman"/>
          <w:b/>
          <w:sz w:val="26"/>
          <w:szCs w:val="26"/>
          <w:lang w:val="lv-LV"/>
        </w:rPr>
      </w:pPr>
      <w:r>
        <w:rPr>
          <w:rFonts w:ascii="Times New Roman" w:hAnsi="Times New Roman"/>
          <w:b/>
          <w:sz w:val="26"/>
          <w:szCs w:val="26"/>
          <w:lang w:val="lv-LV"/>
        </w:rPr>
        <w:t>SIA “ZEVA AUTO”</w:t>
      </w:r>
      <w:r>
        <w:rPr>
          <w:rFonts w:ascii="Times New Roman" w:eastAsia="Times New Roman" w:hAnsi="Times New Roman"/>
          <w:b/>
          <w:sz w:val="26"/>
          <w:szCs w:val="26"/>
          <w:lang w:val="lv-LV"/>
        </w:rPr>
        <w:t xml:space="preserve"> </w:t>
      </w:r>
    </w:p>
    <w:p w14:paraId="1692D2CB" w14:textId="77777777" w:rsidR="0084338E" w:rsidRDefault="00000000">
      <w:pPr>
        <w:widowControl/>
        <w:spacing w:after="0" w:line="240" w:lineRule="auto"/>
        <w:ind w:firstLine="5103"/>
        <w:rPr>
          <w:rFonts w:ascii="Times New Roman" w:eastAsia="Times New Roman" w:hAnsi="Times New Roman"/>
          <w:b/>
          <w:sz w:val="26"/>
          <w:szCs w:val="26"/>
          <w:lang w:val="lv-LV"/>
        </w:rPr>
      </w:pPr>
      <w:proofErr w:type="spellStart"/>
      <w:r>
        <w:rPr>
          <w:rFonts w:ascii="Times New Roman" w:eastAsia="Times New Roman" w:hAnsi="Times New Roman"/>
          <w:b/>
          <w:sz w:val="26"/>
          <w:szCs w:val="26"/>
          <w:lang w:val="lv-LV"/>
        </w:rPr>
        <w:t>Reģ</w:t>
      </w:r>
      <w:proofErr w:type="spellEnd"/>
      <w:r>
        <w:rPr>
          <w:rFonts w:ascii="Times New Roman" w:eastAsia="Times New Roman" w:hAnsi="Times New Roman"/>
          <w:b/>
          <w:sz w:val="26"/>
          <w:szCs w:val="26"/>
          <w:lang w:val="lv-LV"/>
        </w:rPr>
        <w:t>. Nr.</w:t>
      </w:r>
      <w:r>
        <w:rPr>
          <w:sz w:val="26"/>
          <w:szCs w:val="26"/>
        </w:rPr>
        <w:t xml:space="preserve"> </w:t>
      </w:r>
      <w:r>
        <w:rPr>
          <w:rFonts w:ascii="Times New Roman" w:eastAsia="Times New Roman" w:hAnsi="Times New Roman"/>
          <w:b/>
          <w:sz w:val="26"/>
          <w:szCs w:val="26"/>
          <w:lang w:val="lv-LV"/>
        </w:rPr>
        <w:t>40103942814</w:t>
      </w:r>
      <w:r>
        <w:rPr>
          <w:rFonts w:ascii="Times New Roman" w:hAnsi="Times New Roman"/>
          <w:b/>
          <w:sz w:val="26"/>
          <w:szCs w:val="26"/>
          <w:lang w:val="lv-LV"/>
        </w:rPr>
        <w:t xml:space="preserve"> </w:t>
      </w:r>
    </w:p>
    <w:p w14:paraId="19AD7EE1" w14:textId="77777777" w:rsidR="0084338E" w:rsidRDefault="00000000">
      <w:pPr>
        <w:widowControl/>
        <w:spacing w:after="240" w:line="240" w:lineRule="auto"/>
        <w:ind w:firstLine="5103"/>
        <w:rPr>
          <w:rFonts w:ascii="Times New Roman" w:eastAsia="Times New Roman" w:hAnsi="Times New Roman"/>
          <w:b/>
          <w:sz w:val="26"/>
          <w:szCs w:val="26"/>
          <w:lang w:val="lv-LV"/>
        </w:rPr>
      </w:pPr>
      <w:r>
        <w:rPr>
          <w:rFonts w:ascii="Times New Roman" w:hAnsi="Times New Roman"/>
          <w:b/>
          <w:sz w:val="26"/>
          <w:szCs w:val="26"/>
          <w:lang w:val="lv-LV"/>
        </w:rPr>
        <w:t xml:space="preserve">info@auto13.lv </w:t>
      </w:r>
    </w:p>
    <w:p w14:paraId="2FE93C01" w14:textId="77777777" w:rsidR="0084338E" w:rsidRDefault="00000000">
      <w:pPr>
        <w:widowControl/>
        <w:spacing w:before="360" w:after="0" w:line="240" w:lineRule="auto"/>
        <w:jc w:val="center"/>
        <w:rPr>
          <w:rFonts w:ascii="Times New Roman" w:eastAsia="Times New Roman" w:hAnsi="Times New Roman"/>
          <w:b/>
          <w:sz w:val="26"/>
          <w:szCs w:val="26"/>
          <w:lang w:val="lv-LV" w:eastAsia="lv-LV"/>
        </w:rPr>
      </w:pPr>
      <w:r>
        <w:rPr>
          <w:rFonts w:ascii="Times New Roman" w:eastAsia="Times New Roman" w:hAnsi="Times New Roman"/>
          <w:b/>
          <w:sz w:val="26"/>
          <w:szCs w:val="26"/>
          <w:lang w:val="lv-LV" w:eastAsia="lv-LV"/>
        </w:rPr>
        <w:t>Lēmums</w:t>
      </w:r>
    </w:p>
    <w:p w14:paraId="21AFCA08" w14:textId="77777777" w:rsidR="0084338E" w:rsidRDefault="00000000">
      <w:pPr>
        <w:widowControl/>
        <w:spacing w:after="0" w:line="240" w:lineRule="auto"/>
        <w:jc w:val="center"/>
        <w:rPr>
          <w:rFonts w:ascii="Times New Roman" w:eastAsia="Times New Roman" w:hAnsi="Times New Roman"/>
          <w:b/>
          <w:sz w:val="26"/>
          <w:szCs w:val="26"/>
          <w:lang w:val="lv-LV" w:eastAsia="lv-LV"/>
        </w:rPr>
      </w:pPr>
      <w:r>
        <w:rPr>
          <w:rFonts w:ascii="Times New Roman" w:eastAsia="Times New Roman" w:hAnsi="Times New Roman"/>
          <w:b/>
          <w:sz w:val="26"/>
          <w:szCs w:val="26"/>
          <w:lang w:val="lv-LV" w:eastAsia="lv-LV"/>
        </w:rPr>
        <w:t>par strīdu</w:t>
      </w:r>
    </w:p>
    <w:p w14:paraId="6FE65C4F" w14:textId="77777777" w:rsidR="0084338E" w:rsidRDefault="00000000">
      <w:pPr>
        <w:widowControl/>
        <w:spacing w:after="0" w:line="240" w:lineRule="auto"/>
        <w:jc w:val="center"/>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Rīgā</w:t>
      </w:r>
    </w:p>
    <w:p w14:paraId="737046DF" w14:textId="77777777" w:rsidR="0084338E" w:rsidRDefault="00000000">
      <w:pPr>
        <w:widowControl/>
        <w:tabs>
          <w:tab w:val="left" w:pos="6521"/>
        </w:tabs>
        <w:spacing w:before="240" w:after="0" w:line="240" w:lineRule="auto"/>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2025. gada 8.jūlijā</w:t>
      </w:r>
      <w:r>
        <w:rPr>
          <w:rFonts w:ascii="Times New Roman" w:eastAsia="Times New Roman" w:hAnsi="Times New Roman"/>
          <w:sz w:val="26"/>
          <w:szCs w:val="26"/>
          <w:lang w:val="lv-LV" w:eastAsia="lv-LV"/>
        </w:rPr>
        <w:tab/>
        <w:t>Nr. 2025/99-psrk</w:t>
      </w:r>
    </w:p>
    <w:p w14:paraId="355BC2BD" w14:textId="77777777" w:rsidR="0084338E" w:rsidRDefault="00000000">
      <w:pPr>
        <w:widowControl/>
        <w:spacing w:before="240" w:after="0" w:line="240" w:lineRule="auto"/>
        <w:ind w:firstLine="709"/>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Patērētāju strīdu risināšanas komisija (turpmāk – Komisija) šādā sastāvā:</w:t>
      </w:r>
    </w:p>
    <w:p w14:paraId="1C4A8B87" w14:textId="77777777" w:rsidR="0084338E" w:rsidRDefault="00000000">
      <w:pPr>
        <w:widowControl/>
        <w:spacing w:after="0" w:line="240" w:lineRule="auto"/>
        <w:ind w:left="720" w:firstLine="720"/>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 xml:space="preserve">Komisijas priekšsēdētāja </w:t>
      </w:r>
      <w:proofErr w:type="spellStart"/>
      <w:r>
        <w:rPr>
          <w:rFonts w:ascii="Times New Roman" w:eastAsia="Times New Roman" w:hAnsi="Times New Roman"/>
          <w:sz w:val="26"/>
          <w:szCs w:val="26"/>
          <w:lang w:val="lv-LV" w:eastAsia="lv-LV"/>
        </w:rPr>
        <w:t>A.Biksiniece</w:t>
      </w:r>
      <w:proofErr w:type="spellEnd"/>
      <w:r>
        <w:rPr>
          <w:rFonts w:ascii="Times New Roman" w:eastAsia="Times New Roman" w:hAnsi="Times New Roman"/>
          <w:sz w:val="26"/>
          <w:szCs w:val="26"/>
          <w:lang w:val="lv-LV" w:eastAsia="lv-LV"/>
        </w:rPr>
        <w:t xml:space="preserve"> </w:t>
      </w:r>
    </w:p>
    <w:p w14:paraId="72D77CBA" w14:textId="77777777" w:rsidR="0084338E" w:rsidRDefault="00000000">
      <w:pPr>
        <w:widowControl/>
        <w:spacing w:after="0" w:line="240" w:lineRule="auto"/>
        <w:ind w:left="1440"/>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 xml:space="preserve">Komisijas locekļi A. </w:t>
      </w:r>
      <w:proofErr w:type="spellStart"/>
      <w:r>
        <w:rPr>
          <w:rFonts w:ascii="Times New Roman" w:eastAsia="Times New Roman" w:hAnsi="Times New Roman"/>
          <w:sz w:val="26"/>
          <w:szCs w:val="26"/>
          <w:lang w:val="lv-LV" w:eastAsia="lv-LV"/>
        </w:rPr>
        <w:t>Smagars</w:t>
      </w:r>
      <w:proofErr w:type="spellEnd"/>
      <w:r>
        <w:rPr>
          <w:rFonts w:ascii="Times New Roman" w:eastAsia="Times New Roman" w:hAnsi="Times New Roman"/>
          <w:sz w:val="26"/>
          <w:szCs w:val="26"/>
          <w:lang w:val="lv-LV" w:eastAsia="lv-LV"/>
        </w:rPr>
        <w:t xml:space="preserve"> kā patērētāju interešu pārstāvis un </w:t>
      </w:r>
      <w:r>
        <w:rPr>
          <w:rFonts w:ascii="Times New Roman" w:hAnsi="Times New Roman"/>
          <w:sz w:val="26"/>
          <w:szCs w:val="26"/>
          <w:lang w:val="lv-LV"/>
        </w:rPr>
        <w:t>I. Rūtiņš</w:t>
      </w:r>
      <w:r>
        <w:rPr>
          <w:rFonts w:ascii="Times New Roman" w:eastAsia="Times New Roman" w:hAnsi="Times New Roman"/>
          <w:sz w:val="26"/>
          <w:szCs w:val="26"/>
          <w:lang w:val="lv-LV" w:eastAsia="lv-LV"/>
        </w:rPr>
        <w:t xml:space="preserve"> kā komersantu interešu pārstāvis</w:t>
      </w:r>
    </w:p>
    <w:p w14:paraId="4FD8DEBC" w14:textId="79EED1CC" w:rsidR="0084338E" w:rsidRDefault="00000000">
      <w:pPr>
        <w:widowControl/>
        <w:spacing w:after="0" w:line="240" w:lineRule="auto"/>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 xml:space="preserve">izskatīja rakstveida procesā strīdu starp </w:t>
      </w:r>
      <w:bookmarkStart w:id="1" w:name="_Hlk152766374"/>
      <w:r>
        <w:rPr>
          <w:rFonts w:ascii="Times New Roman" w:eastAsia="Times New Roman" w:hAnsi="Times New Roman"/>
          <w:sz w:val="26"/>
          <w:szCs w:val="26"/>
          <w:lang w:val="lv-LV" w:eastAsia="lv-LV"/>
        </w:rPr>
        <w:t>patērētāj</w:t>
      </w:r>
      <w:r w:rsidR="00D9370F">
        <w:rPr>
          <w:rFonts w:ascii="Times New Roman" w:eastAsia="Times New Roman" w:hAnsi="Times New Roman"/>
          <w:sz w:val="26"/>
          <w:szCs w:val="26"/>
          <w:lang w:val="lv-LV" w:eastAsia="lv-LV"/>
        </w:rPr>
        <w:t>u</w:t>
      </w:r>
      <w:r>
        <w:rPr>
          <w:rFonts w:ascii="Times New Roman" w:eastAsia="Times New Roman" w:hAnsi="Times New Roman"/>
          <w:sz w:val="26"/>
          <w:szCs w:val="26"/>
          <w:lang w:val="lv-LV" w:eastAsia="lv-LV"/>
        </w:rPr>
        <w:t xml:space="preserve"> un SIA “ZEVA AUTO” (turpmāk – sabiedrība) saistībā ar </w:t>
      </w:r>
      <w:bookmarkEnd w:id="0"/>
      <w:bookmarkEnd w:id="1"/>
      <w:r>
        <w:rPr>
          <w:rFonts w:ascii="Times New Roman" w:eastAsia="Times New Roman" w:hAnsi="Times New Roman"/>
          <w:sz w:val="26"/>
          <w:szCs w:val="26"/>
          <w:lang w:val="lv-LV" w:eastAsia="lv-LV"/>
        </w:rPr>
        <w:t>iegādātu auto “</w:t>
      </w:r>
      <w:r>
        <w:rPr>
          <w:rFonts w:ascii="Times New Roman" w:eastAsia="Times New Roman" w:hAnsi="Times New Roman"/>
          <w:sz w:val="26"/>
          <w:szCs w:val="26"/>
          <w:lang w:val="lv-LV"/>
        </w:rPr>
        <w:t>RENAULT ESPACE” (turpmāk – automašīna).</w:t>
      </w:r>
    </w:p>
    <w:p w14:paraId="4DE5B32E" w14:textId="77777777" w:rsidR="0084338E" w:rsidRDefault="00000000">
      <w:pPr>
        <w:spacing w:after="0" w:line="240" w:lineRule="auto"/>
        <w:ind w:firstLine="720"/>
        <w:jc w:val="both"/>
        <w:rPr>
          <w:rFonts w:ascii="Times New Roman" w:hAnsi="Times New Roman"/>
          <w:sz w:val="26"/>
          <w:szCs w:val="26"/>
          <w:lang w:val="lv-LV"/>
        </w:rPr>
      </w:pPr>
      <w:r>
        <w:rPr>
          <w:rFonts w:ascii="Times New Roman" w:eastAsia="Times New Roman" w:hAnsi="Times New Roman"/>
          <w:sz w:val="26"/>
          <w:szCs w:val="26"/>
          <w:lang w:val="lv-LV" w:eastAsia="lv-LV"/>
        </w:rPr>
        <w:t xml:space="preserve">No lietā esošajiem materiāliem izriet, ka </w:t>
      </w:r>
      <w:r>
        <w:rPr>
          <w:rFonts w:ascii="Times New Roman" w:hAnsi="Times New Roman"/>
          <w:sz w:val="26"/>
          <w:szCs w:val="26"/>
          <w:lang w:val="lv-LV"/>
        </w:rPr>
        <w:t>patērētāja 2024.gada 25.septembrī</w:t>
      </w:r>
      <w:r>
        <w:rPr>
          <w:rFonts w:ascii="Times New Roman" w:eastAsia="Times New Roman" w:hAnsi="Times New Roman"/>
          <w:sz w:val="26"/>
          <w:szCs w:val="26"/>
          <w:lang w:val="lv-LV"/>
        </w:rPr>
        <w:t xml:space="preserve"> </w:t>
      </w:r>
      <w:r>
        <w:rPr>
          <w:rFonts w:ascii="Times New Roman" w:hAnsi="Times New Roman"/>
          <w:sz w:val="26"/>
          <w:szCs w:val="26"/>
          <w:lang w:val="lv-LV"/>
        </w:rPr>
        <w:t>iegādājās sabiedrībā</w:t>
      </w:r>
      <w:r>
        <w:rPr>
          <w:rFonts w:ascii="Times New Roman" w:eastAsia="Times New Roman" w:hAnsi="Times New Roman"/>
          <w:sz w:val="26"/>
          <w:szCs w:val="26"/>
          <w:lang w:val="lv-LV"/>
        </w:rPr>
        <w:t xml:space="preserve"> automašīnu par summu </w:t>
      </w:r>
      <w:r>
        <w:rPr>
          <w:rFonts w:ascii="Times New Roman" w:hAnsi="Times New Roman"/>
          <w:sz w:val="26"/>
          <w:szCs w:val="26"/>
          <w:lang w:val="lv-LV"/>
        </w:rPr>
        <w:t>12890,00 EUR.</w:t>
      </w:r>
      <w:r>
        <w:rPr>
          <w:rFonts w:ascii="Times New Roman" w:eastAsia="Times New Roman" w:hAnsi="Times New Roman"/>
          <w:sz w:val="26"/>
          <w:szCs w:val="26"/>
          <w:lang w:val="lv-LV"/>
        </w:rPr>
        <w:t xml:space="preserve"> Divas dienas pēc automašīnas saņemšanas patērētāja konstatēja, ka automašīnai atklājušies defekti – </w:t>
      </w:r>
      <w:r>
        <w:rPr>
          <w:rFonts w:ascii="Times New Roman" w:hAnsi="Times New Roman"/>
          <w:i/>
          <w:iCs/>
          <w:sz w:val="26"/>
          <w:szCs w:val="26"/>
          <w:lang w:val="lv-LV"/>
        </w:rPr>
        <w:t>iedegušās servisa lampiņas</w:t>
      </w:r>
      <w:r>
        <w:rPr>
          <w:rFonts w:ascii="Times New Roman" w:hAnsi="Times New Roman"/>
          <w:sz w:val="26"/>
          <w:szCs w:val="26"/>
          <w:lang w:val="lv-LV"/>
        </w:rPr>
        <w:t>.</w:t>
      </w:r>
      <w:r>
        <w:rPr>
          <w:rFonts w:ascii="Times New Roman" w:eastAsia="Times New Roman" w:hAnsi="Times New Roman"/>
          <w:sz w:val="26"/>
          <w:szCs w:val="26"/>
          <w:lang w:val="lv-LV" w:eastAsia="lv-LV"/>
        </w:rPr>
        <w:t xml:space="preserve"> </w:t>
      </w:r>
      <w:r>
        <w:rPr>
          <w:rFonts w:ascii="Times New Roman" w:hAnsi="Times New Roman"/>
          <w:sz w:val="26"/>
          <w:szCs w:val="26"/>
          <w:lang w:val="lv-LV"/>
        </w:rPr>
        <w:t xml:space="preserve">2024.gada 30.oktobrī </w:t>
      </w:r>
      <w:r>
        <w:rPr>
          <w:rFonts w:ascii="Times New Roman" w:eastAsia="Times New Roman" w:hAnsi="Times New Roman"/>
          <w:sz w:val="26"/>
          <w:szCs w:val="26"/>
          <w:lang w:val="lv-LV" w:eastAsia="lv-LV"/>
        </w:rPr>
        <w:t xml:space="preserve">patērētāja aizveda automašīnu uz </w:t>
      </w:r>
      <w:r>
        <w:rPr>
          <w:rFonts w:ascii="Times New Roman" w:hAnsi="Times New Roman"/>
          <w:sz w:val="26"/>
          <w:szCs w:val="26"/>
          <w:lang w:val="lv-LV"/>
        </w:rPr>
        <w:t>UAB “</w:t>
      </w:r>
      <w:proofErr w:type="spellStart"/>
      <w:r>
        <w:rPr>
          <w:rFonts w:ascii="Times New Roman" w:hAnsi="Times New Roman"/>
          <w:sz w:val="26"/>
          <w:szCs w:val="26"/>
          <w:lang w:val="lv-LV"/>
        </w:rPr>
        <w:t>Sostena</w:t>
      </w:r>
      <w:proofErr w:type="spellEnd"/>
      <w:r>
        <w:rPr>
          <w:rFonts w:ascii="Times New Roman" w:hAnsi="Times New Roman"/>
          <w:sz w:val="26"/>
          <w:szCs w:val="26"/>
          <w:lang w:val="lv-LV"/>
        </w:rPr>
        <w:t xml:space="preserve"> Klaipēda” automašīnu servisu, kur automašīnai tika konstatēti vairāki defekti, tai skaitā problēmas ar kvēpu filtru, dzinēja problēmas, aizmugurējo riteņu stūrēšanas mehānisma problēmas. UAB “</w:t>
      </w:r>
      <w:proofErr w:type="spellStart"/>
      <w:r>
        <w:rPr>
          <w:rFonts w:ascii="Times New Roman" w:hAnsi="Times New Roman"/>
          <w:sz w:val="26"/>
          <w:szCs w:val="26"/>
          <w:lang w:val="lv-LV"/>
        </w:rPr>
        <w:t>Sostena</w:t>
      </w:r>
      <w:proofErr w:type="spellEnd"/>
      <w:r>
        <w:rPr>
          <w:rFonts w:ascii="Times New Roman" w:hAnsi="Times New Roman"/>
          <w:sz w:val="26"/>
          <w:szCs w:val="26"/>
          <w:lang w:val="lv-LV"/>
        </w:rPr>
        <w:t xml:space="preserve"> Klaipēda” serviss sastādīja tāmi, kurā norādīti visi nepieciešamie remontdarbi automašīnai 12 829,42 EUR apmērā, pirms dzinēja pilnas diagnostikas, jo pastāv iespējamība, ka automašīnai ir dzinēja defekti, līdz ar ko kopējā remontu izmaksas summa būs lielāka. Patērētāja vērsās pie sabiedrības ar iesniegumu, taču sabiedrība atbildi patērētājai nesniedza.</w:t>
      </w:r>
      <w:bookmarkStart w:id="2" w:name="_Hlk183006565"/>
      <w:bookmarkEnd w:id="2"/>
    </w:p>
    <w:p w14:paraId="0017C03C" w14:textId="77777777" w:rsidR="0084338E" w:rsidRDefault="00000000">
      <w:pPr>
        <w:widowControl/>
        <w:spacing w:after="0" w:line="240" w:lineRule="auto"/>
        <w:ind w:firstLine="720"/>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Ņemot vērā iepriekš minēto, patērētāja vēlas, lai sabiedrība atgriež samaksāto naudu par iegādāto automašīnu, vai veic automašīnas maiņu, kā arī veic veikto remontdarbu apmaksu.</w:t>
      </w:r>
    </w:p>
    <w:p w14:paraId="2A366D14" w14:textId="77777777" w:rsidR="0084338E" w:rsidRDefault="00000000">
      <w:pPr>
        <w:widowControl/>
        <w:spacing w:after="0" w:line="240" w:lineRule="auto"/>
        <w:ind w:firstLine="720"/>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 xml:space="preserve">Sabiedrība sniedza skaidrojumu Patērētāju tiesību aizsardzības centram, kā arī Komisijai, norādot, ka nepiekrīt patērētājas viedoklim, norādot, ka patērētājas veiktajā diagnostikas atskaitē “SOSTENA” centrā norādītie defekti ir cēloniskā sakarība ar patērētājas bezdarbību, proti automašīnai netika veikta eļļas nomaiņas, eļļas filtru un degvielas filtru maiņa, kā rezultātā automašīnai radīti citi bojājumi. </w:t>
      </w:r>
    </w:p>
    <w:p w14:paraId="05036359" w14:textId="77777777" w:rsidR="0084338E" w:rsidRDefault="00000000">
      <w:pPr>
        <w:widowControl/>
        <w:spacing w:after="0" w:line="240" w:lineRule="auto"/>
        <w:ind w:firstLine="720"/>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 xml:space="preserve">Komisija, izvērtējot lietā esošos dokumentus, norāda, sabiedrība nav iesniegusi pierādījumus saviem apgalvojumiem, ka patērētājas rīcības dēļ automašīnai ir radušies defekti. Nav iesniegti pierādījumi tam, ka patērētājai ir pārdota automašīna bez šiem diagnostikā norādītajiem defektiem. Patērētāja ir iesniegusi Komisijai servisa centra </w:t>
      </w:r>
      <w:r>
        <w:rPr>
          <w:rFonts w:ascii="Times New Roman" w:eastAsia="Times New Roman" w:hAnsi="Times New Roman"/>
          <w:sz w:val="26"/>
          <w:szCs w:val="26"/>
          <w:lang w:val="lv-LV" w:eastAsia="lv-LV"/>
        </w:rPr>
        <w:lastRenderedPageBreak/>
        <w:t>atzinumu, ka automašīnai pastāv defekti, par kuriem sabiedrība nebija informējusi patērētāju pirms automašīnas pārdošanas. Komisija konstatē, ka sabiedrība nav veikusi pati savu diagnostiku un centusies novērst automašīnai patērētājas konstatētos defektus.</w:t>
      </w:r>
    </w:p>
    <w:p w14:paraId="6E070E98" w14:textId="77777777" w:rsidR="0084338E" w:rsidRDefault="00000000">
      <w:pPr>
        <w:widowControl/>
        <w:spacing w:after="0" w:line="240" w:lineRule="auto"/>
        <w:ind w:firstLine="720"/>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Līdz ar to Komisija piekrīt patērētājas iesniegtajam servisa centra atzinumam, secinot, ka automašīna ir līguma noteikumiem neatbilstoša.</w:t>
      </w:r>
    </w:p>
    <w:p w14:paraId="1FC7BF14" w14:textId="77777777" w:rsidR="0084338E" w:rsidRDefault="00000000">
      <w:pPr>
        <w:spacing w:after="0" w:line="240" w:lineRule="auto"/>
        <w:ind w:firstLine="720"/>
        <w:contextualSpacing/>
        <w:jc w:val="both"/>
        <w:rPr>
          <w:rFonts w:ascii="Times New Roman" w:hAnsi="Times New Roman"/>
          <w:sz w:val="26"/>
          <w:szCs w:val="26"/>
          <w:lang w:val="lv-LV"/>
        </w:rPr>
      </w:pPr>
      <w:r>
        <w:rPr>
          <w:rFonts w:ascii="Times New Roman" w:hAnsi="Times New Roman"/>
          <w:sz w:val="26"/>
          <w:szCs w:val="26"/>
          <w:lang w:val="lv-LV"/>
        </w:rPr>
        <w:t xml:space="preserve">Komisija norāda, ka saskaņā ar Patērētāju tiesību aizsardzības likuma (turpmāk – PTAL) PTAL 13.pantu pārdevēja pienākums ir nodrošināt preces atbilstību līguma noteikumiem un, ja patērētājs ir konstatējis, ka prece ir līguma noteikumiem neatbilstoša saskaņā ar kritērijiem, kuri ir norādīti PTAL 14.pantā, atbilstoši PTAL 27.panta pirmajai daļai, patērētājs ir tiesīgs pieteikt prasījumu pārdevējam par preces neatbilstību līguma noteikumiem divu gadu laikā no preces piegādes dienas. </w:t>
      </w:r>
    </w:p>
    <w:p w14:paraId="4CFA1E6F" w14:textId="77777777" w:rsidR="0084338E" w:rsidRDefault="00000000">
      <w:pPr>
        <w:spacing w:after="0" w:line="240" w:lineRule="auto"/>
        <w:ind w:firstLine="720"/>
        <w:contextualSpacing/>
        <w:jc w:val="both"/>
        <w:rPr>
          <w:rFonts w:ascii="Times New Roman" w:hAnsi="Times New Roman"/>
          <w:sz w:val="26"/>
          <w:szCs w:val="26"/>
          <w:lang w:val="lv-LV"/>
        </w:rPr>
      </w:pPr>
      <w:r>
        <w:rPr>
          <w:rFonts w:ascii="Times New Roman" w:hAnsi="Times New Roman"/>
          <w:sz w:val="26"/>
          <w:szCs w:val="26"/>
          <w:lang w:val="lv-LV"/>
        </w:rPr>
        <w:t>Komisija informē, ka PTAL 13.panta trešajā daļā noteikts, ka, ja preces neatbilstība līguma noteikumiem atklājas gada laikā pēc preces piegādes, uzskatāms, ka tā bija preces, tai skaitā preces ar digitāliem elementiem, piegādes brīdī, izņemot gadījumu, kad šāds pieņēmums ir pretrunā ar preces raksturu vai neatbilstības veidu. </w:t>
      </w:r>
    </w:p>
    <w:p w14:paraId="326E5CB2" w14:textId="77777777" w:rsidR="0084338E" w:rsidRDefault="00000000">
      <w:pPr>
        <w:spacing w:after="0" w:line="240" w:lineRule="auto"/>
        <w:ind w:firstLine="720"/>
        <w:contextualSpacing/>
        <w:jc w:val="both"/>
        <w:rPr>
          <w:rFonts w:ascii="Times New Roman" w:hAnsi="Times New Roman"/>
          <w:sz w:val="26"/>
          <w:szCs w:val="26"/>
          <w:lang w:val="lv-LV"/>
        </w:rPr>
      </w:pPr>
      <w:r>
        <w:rPr>
          <w:rFonts w:ascii="Times New Roman" w:hAnsi="Times New Roman"/>
          <w:sz w:val="26"/>
          <w:szCs w:val="26"/>
          <w:lang w:val="lv-LV"/>
        </w:rPr>
        <w:t xml:space="preserve">Komisija skaidro, ka PTAL 14.panta pirmās daļas pirmajā punktā noteikts, ka prece uzskatāma par atbilstošu līguma noteikumiem, ja tā atbilst pārdevēja vai pakalpojuma sniedzēja sniegtajam preces aprakstam, norādītajam preces veidam, daudzumam un kvalitātei, kā arī funkcionalitātei, saderībai, </w:t>
      </w:r>
      <w:proofErr w:type="spellStart"/>
      <w:r>
        <w:rPr>
          <w:rFonts w:ascii="Times New Roman" w:hAnsi="Times New Roman"/>
          <w:sz w:val="26"/>
          <w:szCs w:val="26"/>
          <w:lang w:val="lv-LV"/>
        </w:rPr>
        <w:t>sadarbspējai</w:t>
      </w:r>
      <w:proofErr w:type="spellEnd"/>
      <w:r>
        <w:rPr>
          <w:rFonts w:ascii="Times New Roman" w:hAnsi="Times New Roman"/>
          <w:sz w:val="26"/>
          <w:szCs w:val="26"/>
          <w:lang w:val="lv-LV"/>
        </w:rPr>
        <w:t xml:space="preserve"> un citām iezīmēm. </w:t>
      </w:r>
    </w:p>
    <w:p w14:paraId="4EE6E05F" w14:textId="77777777" w:rsidR="0084338E" w:rsidRDefault="00000000">
      <w:pPr>
        <w:spacing w:after="0" w:line="240" w:lineRule="auto"/>
        <w:ind w:firstLine="720"/>
        <w:contextualSpacing/>
        <w:jc w:val="both"/>
        <w:rPr>
          <w:rFonts w:ascii="Times New Roman" w:hAnsi="Times New Roman"/>
          <w:sz w:val="26"/>
          <w:szCs w:val="26"/>
          <w:lang w:val="lv-LV"/>
        </w:rPr>
      </w:pPr>
      <w:r>
        <w:rPr>
          <w:rFonts w:ascii="Times New Roman" w:hAnsi="Times New Roman"/>
          <w:sz w:val="26"/>
          <w:szCs w:val="26"/>
          <w:lang w:val="lv-LV"/>
        </w:rPr>
        <w:t>No minētā izriet, ka tā kā automašīna neatbilst sabiedrības solītajam, kā arī sabiedrība nav iesniegusi pretējus pierādījumus patērētājas iesniegtajiem, kas pierādītu, ka automašīnai nav ražošanas defekta, tad Komisijas ieskatā var uzskatīt, ka automašīna ir līguma noteikumiem neatbilstošas.</w:t>
      </w:r>
    </w:p>
    <w:p w14:paraId="0A3A6FD6" w14:textId="77777777" w:rsidR="0084338E" w:rsidRDefault="00000000">
      <w:pPr>
        <w:spacing w:after="0" w:line="240" w:lineRule="auto"/>
        <w:ind w:firstLine="720"/>
        <w:contextualSpacing/>
        <w:jc w:val="both"/>
        <w:rPr>
          <w:rFonts w:ascii="Times New Roman" w:hAnsi="Times New Roman"/>
          <w:sz w:val="26"/>
          <w:szCs w:val="26"/>
          <w:lang w:val="lv-LV"/>
        </w:rPr>
      </w:pPr>
      <w:r>
        <w:rPr>
          <w:rFonts w:ascii="Times New Roman" w:hAnsi="Times New Roman"/>
          <w:sz w:val="26"/>
          <w:szCs w:val="26"/>
          <w:lang w:val="lv-LV"/>
        </w:rPr>
        <w:t xml:space="preserve">PTAL 28.panta otrajā daļā ir noteikts, ja prece ir līguma noteikumiem neatbilstoša, vispirms patērētājs ir tiesīgs izvēlēties, lai pārdevējs bez atlīdzības novērš preces neatbilstību līguma noteikumiem vai bez atlīdzības apmaina preci pret tādu, ar kuru būtu nodrošināta atbilstība līguma noteikumiem, izņemot gadījumu, kad tas nav iespējams vai tas ir nesamērīgi. PTAL 28.panta piektā daļa paredz, ka cenas samazinājumu vai līguma atcelšanu un par preci samaksātās naudas atgriešanu patērētājs ir tiesīgs prasīt tikai iestājoties kādam no nosacījumiem, kuri uzskaitīti PTAL 28.panta piektā daļas apakšpunktos. Piemēram, pārdevējs saprātīgā termiņā nav novērsis preces neatbilstību līguma noteikumiem vai nav preci apmainījis pret līguma noteikumiem atbilstošu. </w:t>
      </w:r>
    </w:p>
    <w:p w14:paraId="7EE1179D" w14:textId="77777777" w:rsidR="0084338E" w:rsidRDefault="00000000">
      <w:pPr>
        <w:spacing w:after="0" w:line="240" w:lineRule="auto"/>
        <w:ind w:firstLine="720"/>
        <w:jc w:val="both"/>
        <w:rPr>
          <w:rFonts w:ascii="Times New Roman" w:hAnsi="Times New Roman"/>
          <w:sz w:val="26"/>
          <w:szCs w:val="26"/>
          <w:lang w:val="lv-LV"/>
        </w:rPr>
      </w:pPr>
      <w:r>
        <w:rPr>
          <w:rFonts w:ascii="Times New Roman" w:hAnsi="Times New Roman"/>
          <w:bCs/>
          <w:sz w:val="26"/>
          <w:szCs w:val="26"/>
          <w:lang w:val="lv-LV"/>
        </w:rPr>
        <w:t xml:space="preserve">Ņemot vērā, ka </w:t>
      </w:r>
      <w:r>
        <w:rPr>
          <w:rFonts w:ascii="Times New Roman" w:eastAsia="Times New Roman" w:hAnsi="Times New Roman"/>
          <w:sz w:val="26"/>
          <w:szCs w:val="26"/>
          <w:lang w:val="lv-LV" w:eastAsia="lv-LV"/>
        </w:rPr>
        <w:t xml:space="preserve">patērētāja ir iegādājusies līguma noteikumiem neatbilstošu automašīnu </w:t>
      </w:r>
      <w:r>
        <w:rPr>
          <w:rFonts w:ascii="Times New Roman" w:hAnsi="Times New Roman"/>
          <w:bCs/>
          <w:sz w:val="26"/>
          <w:szCs w:val="26"/>
          <w:lang w:val="lv-LV"/>
        </w:rPr>
        <w:t xml:space="preserve">un sabiedrība saprātīgā termiņā nav novērsusi automašīnas neatbilstību līguma noteikumiem, patērētājai ir tiesības prasīt naudas atgriešanu atbilstoši </w:t>
      </w:r>
      <w:r>
        <w:rPr>
          <w:rFonts w:ascii="Times New Roman" w:hAnsi="Times New Roman"/>
          <w:sz w:val="26"/>
          <w:szCs w:val="26"/>
          <w:lang w:val="lv-LV"/>
        </w:rPr>
        <w:t>PTAL 28.panta piektajai daļai.</w:t>
      </w:r>
    </w:p>
    <w:p w14:paraId="1C53EF0D" w14:textId="77777777" w:rsidR="0084338E" w:rsidRDefault="00000000">
      <w:pPr>
        <w:widowControl/>
        <w:spacing w:after="0" w:line="240" w:lineRule="auto"/>
        <w:ind w:firstLine="720"/>
        <w:jc w:val="both"/>
        <w:rPr>
          <w:rFonts w:ascii="Times New Roman" w:hAnsi="Times New Roman"/>
          <w:color w:val="000000" w:themeColor="text1"/>
          <w:sz w:val="26"/>
          <w:szCs w:val="26"/>
          <w:shd w:val="clear" w:color="auto" w:fill="FFFFFF"/>
          <w:lang w:val="lv-LV"/>
        </w:rPr>
      </w:pPr>
      <w:r>
        <w:rPr>
          <w:rFonts w:ascii="Times New Roman" w:hAnsi="Times New Roman"/>
          <w:color w:val="000000" w:themeColor="text1"/>
          <w:sz w:val="26"/>
          <w:szCs w:val="26"/>
          <w:shd w:val="clear" w:color="auto" w:fill="FFFFFF"/>
          <w:lang w:val="lv-LV"/>
        </w:rPr>
        <w:t xml:space="preserve">Konkrētajā gadījumā Komisijas ieskatā sabiedrībai būtu jāatlīdzina patērētājai radušies zaudējumi saistībā ar veiktajiem remontdarbiem automašīnai, taču Komisijas kompetencē neietilpst izvērtēt radīto zaudējumu apmēru un pamatotību. Tāpat saskaņā ar PTAL 32.pantu patērētāju prasības par zaudējuma atlīdzību un līgumsoda piedziņu risināmas tiesā Civilprocesa likumā noteiktajā kārtībā, ņemot vērā, ka patērētājam nav speciālu zināšanu par iegādātās preces vai saņemtā pakalpojuma īpašībām un raksturojumu. Līdz ar to strīds par zaudējumu atlīdzinājumu ir risināms tiesā. </w:t>
      </w:r>
    </w:p>
    <w:p w14:paraId="5B0699DE" w14:textId="77777777" w:rsidR="0084338E" w:rsidRDefault="00000000">
      <w:pPr>
        <w:spacing w:after="0" w:line="240" w:lineRule="auto"/>
        <w:ind w:firstLine="720"/>
        <w:contextualSpacing/>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Ņemot vērā minēto, Komisija, pamatojoties uz Patērētāju tiesību aizsardzības likuma 26.</w:t>
      </w:r>
      <w:r>
        <w:rPr>
          <w:rFonts w:ascii="Times New Roman" w:eastAsia="Times New Roman" w:hAnsi="Times New Roman"/>
          <w:sz w:val="26"/>
          <w:szCs w:val="26"/>
          <w:vertAlign w:val="superscript"/>
          <w:lang w:val="lv-LV" w:eastAsia="lv-LV"/>
        </w:rPr>
        <w:t>3</w:t>
      </w:r>
      <w:r>
        <w:rPr>
          <w:rFonts w:ascii="Times New Roman" w:eastAsia="Times New Roman" w:hAnsi="Times New Roman"/>
          <w:sz w:val="26"/>
          <w:szCs w:val="26"/>
          <w:lang w:val="lv-LV" w:eastAsia="lv-LV"/>
        </w:rPr>
        <w:t xml:space="preserve"> panta pirmo daļu, 26.</w:t>
      </w:r>
      <w:r>
        <w:rPr>
          <w:rFonts w:ascii="Times New Roman" w:eastAsia="Times New Roman" w:hAnsi="Times New Roman"/>
          <w:sz w:val="26"/>
          <w:szCs w:val="26"/>
          <w:vertAlign w:val="superscript"/>
          <w:lang w:val="lv-LV" w:eastAsia="lv-LV"/>
        </w:rPr>
        <w:t xml:space="preserve">4 </w:t>
      </w:r>
      <w:r>
        <w:rPr>
          <w:rFonts w:ascii="Times New Roman" w:eastAsia="Times New Roman" w:hAnsi="Times New Roman"/>
          <w:sz w:val="26"/>
          <w:szCs w:val="26"/>
          <w:lang w:val="lv-LV" w:eastAsia="lv-LV"/>
        </w:rPr>
        <w:t>panta pirmo un otro daļu, 26.</w:t>
      </w:r>
      <w:r>
        <w:rPr>
          <w:rFonts w:ascii="Times New Roman" w:eastAsia="Times New Roman" w:hAnsi="Times New Roman"/>
          <w:sz w:val="26"/>
          <w:szCs w:val="26"/>
          <w:vertAlign w:val="superscript"/>
          <w:lang w:val="lv-LV" w:eastAsia="lv-LV"/>
        </w:rPr>
        <w:t>11</w:t>
      </w:r>
      <w:r>
        <w:rPr>
          <w:rFonts w:ascii="Times New Roman" w:eastAsia="Times New Roman" w:hAnsi="Times New Roman"/>
          <w:sz w:val="26"/>
          <w:szCs w:val="26"/>
          <w:lang w:val="lv-LV" w:eastAsia="lv-LV"/>
        </w:rPr>
        <w:t xml:space="preserve"> panta pirmo daļu, 26.</w:t>
      </w:r>
      <w:r>
        <w:rPr>
          <w:rFonts w:ascii="Times New Roman" w:eastAsia="Times New Roman" w:hAnsi="Times New Roman"/>
          <w:sz w:val="26"/>
          <w:szCs w:val="26"/>
          <w:vertAlign w:val="superscript"/>
          <w:lang w:val="lv-LV" w:eastAsia="lv-LV"/>
        </w:rPr>
        <w:t>12</w:t>
      </w:r>
      <w:r>
        <w:rPr>
          <w:rFonts w:ascii="Times New Roman" w:eastAsia="Times New Roman" w:hAnsi="Times New Roman"/>
          <w:sz w:val="26"/>
          <w:szCs w:val="26"/>
          <w:lang w:val="lv-LV" w:eastAsia="lv-LV"/>
        </w:rPr>
        <w:t xml:space="preserve"> panta pirmo  daļu, 13.pantu, 14.panta pirmās daļas 1.punktu un 28.panta otro un piekto </w:t>
      </w:r>
      <w:r>
        <w:rPr>
          <w:rFonts w:ascii="Times New Roman" w:eastAsia="Times New Roman" w:hAnsi="Times New Roman"/>
          <w:sz w:val="26"/>
          <w:szCs w:val="26"/>
          <w:lang w:val="lv-LV" w:eastAsia="lv-LV"/>
        </w:rPr>
        <w:lastRenderedPageBreak/>
        <w:t>daļu</w:t>
      </w:r>
    </w:p>
    <w:p w14:paraId="2749B2D1" w14:textId="77777777" w:rsidR="0084338E" w:rsidRDefault="0084338E">
      <w:pPr>
        <w:spacing w:line="240" w:lineRule="auto"/>
        <w:ind w:firstLine="720"/>
        <w:contextualSpacing/>
        <w:jc w:val="both"/>
        <w:rPr>
          <w:rFonts w:ascii="Times New Roman" w:hAnsi="Times New Roman"/>
          <w:sz w:val="26"/>
          <w:szCs w:val="26"/>
          <w:lang w:val="lv-LV"/>
        </w:rPr>
      </w:pPr>
    </w:p>
    <w:p w14:paraId="515DB53F" w14:textId="77777777" w:rsidR="0084338E" w:rsidRDefault="00000000">
      <w:pPr>
        <w:widowControl/>
        <w:tabs>
          <w:tab w:val="left" w:pos="4111"/>
        </w:tabs>
        <w:spacing w:after="0" w:line="240" w:lineRule="auto"/>
        <w:jc w:val="both"/>
        <w:rPr>
          <w:rFonts w:ascii="Times New Roman" w:eastAsia="Times New Roman" w:hAnsi="Times New Roman"/>
          <w:b/>
          <w:sz w:val="26"/>
          <w:szCs w:val="26"/>
          <w:lang w:val="lv-LV" w:eastAsia="lv-LV"/>
        </w:rPr>
      </w:pPr>
      <w:r>
        <w:rPr>
          <w:rFonts w:ascii="Times New Roman" w:hAnsi="Times New Roman"/>
          <w:sz w:val="26"/>
          <w:szCs w:val="26"/>
          <w:lang w:val="lv-LV"/>
        </w:rPr>
        <w:tab/>
      </w:r>
      <w:r>
        <w:rPr>
          <w:rFonts w:ascii="Times New Roman" w:eastAsia="Times New Roman" w:hAnsi="Times New Roman"/>
          <w:b/>
          <w:sz w:val="26"/>
          <w:szCs w:val="26"/>
          <w:lang w:val="lv-LV" w:eastAsia="lv-LV"/>
        </w:rPr>
        <w:t>nolemj:</w:t>
      </w:r>
    </w:p>
    <w:p w14:paraId="12FF0A01" w14:textId="411A1DCB" w:rsidR="0084338E" w:rsidRDefault="00000000">
      <w:pPr>
        <w:widowControl/>
        <w:spacing w:before="240" w:after="0" w:line="240" w:lineRule="auto"/>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 xml:space="preserve">daļēji apmierināt </w:t>
      </w:r>
      <w:r w:rsidR="00D9370F">
        <w:rPr>
          <w:rFonts w:ascii="Times New Roman" w:eastAsia="Times New Roman" w:hAnsi="Times New Roman"/>
          <w:sz w:val="26"/>
          <w:szCs w:val="26"/>
          <w:lang w:val="lv-LV" w:eastAsia="lv-LV"/>
        </w:rPr>
        <w:t>patērētājas</w:t>
      </w:r>
      <w:r>
        <w:rPr>
          <w:rFonts w:ascii="Times New Roman" w:eastAsia="Times New Roman" w:hAnsi="Times New Roman"/>
          <w:sz w:val="26"/>
          <w:szCs w:val="26"/>
          <w:lang w:val="lv-LV" w:eastAsia="lv-LV"/>
        </w:rPr>
        <w:t xml:space="preserve"> prasību. </w:t>
      </w:r>
    </w:p>
    <w:p w14:paraId="5D2F9337" w14:textId="21F5D448" w:rsidR="0084338E" w:rsidRDefault="00000000">
      <w:pPr>
        <w:widowControl/>
        <w:spacing w:after="0" w:line="240" w:lineRule="auto"/>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 xml:space="preserve">SIA “ZEVA AUTO” veikt patērētājai naudas atmaksu </w:t>
      </w:r>
      <w:r>
        <w:rPr>
          <w:rFonts w:ascii="Times New Roman" w:hAnsi="Times New Roman"/>
          <w:sz w:val="26"/>
          <w:szCs w:val="26"/>
          <w:lang w:val="lv-LV"/>
        </w:rPr>
        <w:t xml:space="preserve">12890,00 </w:t>
      </w:r>
      <w:r>
        <w:rPr>
          <w:rFonts w:ascii="Times New Roman" w:eastAsia="Times New Roman" w:hAnsi="Times New Roman"/>
          <w:sz w:val="26"/>
          <w:szCs w:val="26"/>
          <w:lang w:val="lv-LV" w:eastAsia="lv-LV"/>
        </w:rPr>
        <w:t>EUR  apmērā.</w:t>
      </w:r>
    </w:p>
    <w:p w14:paraId="052F906E" w14:textId="77777777" w:rsidR="0084338E" w:rsidRDefault="00000000">
      <w:pPr>
        <w:widowControl/>
        <w:spacing w:before="240" w:after="0" w:line="240" w:lineRule="auto"/>
        <w:jc w:val="both"/>
        <w:rPr>
          <w:rFonts w:ascii="Times New Roman" w:eastAsia="Times New Roman" w:hAnsi="Times New Roman"/>
          <w:sz w:val="26"/>
          <w:szCs w:val="26"/>
          <w:lang w:val="lv-LV" w:eastAsia="lv-LV"/>
        </w:rPr>
      </w:pPr>
      <w:r>
        <w:rPr>
          <w:rFonts w:ascii="Times New Roman" w:eastAsia="Times New Roman" w:hAnsi="Times New Roman"/>
          <w:sz w:val="26"/>
          <w:szCs w:val="26"/>
          <w:lang w:val="lv-LV" w:eastAsia="lv-LV"/>
        </w:rPr>
        <w:t>Saskaņā ar Patērētāju tiesību aizsardzības likuma 26.</w:t>
      </w:r>
      <w:r>
        <w:rPr>
          <w:rFonts w:ascii="Times New Roman" w:eastAsia="Times New Roman" w:hAnsi="Times New Roman"/>
          <w:sz w:val="26"/>
          <w:szCs w:val="26"/>
          <w:vertAlign w:val="superscript"/>
          <w:lang w:val="lv-LV" w:eastAsia="lv-LV"/>
        </w:rPr>
        <w:t>12</w:t>
      </w:r>
      <w:r>
        <w:rPr>
          <w:rFonts w:ascii="Times New Roman" w:eastAsia="Times New Roman" w:hAnsi="Times New Roman"/>
          <w:sz w:val="26"/>
          <w:szCs w:val="26"/>
          <w:lang w:val="lv-LV" w:eastAsia="lv-LV"/>
        </w:rPr>
        <w:t xml:space="preserve"> panta piekto daļu Komisijas lēmumam ir ieteikuma raksturs un tas nav apstrīdams vai pārsūdzams. </w:t>
      </w:r>
    </w:p>
    <w:p w14:paraId="0CC49193" w14:textId="77777777" w:rsidR="0084338E" w:rsidRDefault="00000000">
      <w:pPr>
        <w:widowControl/>
        <w:spacing w:after="0" w:line="240" w:lineRule="auto"/>
        <w:jc w:val="both"/>
        <w:rPr>
          <w:rFonts w:ascii="Times New Roman" w:eastAsia="Times New Roman" w:hAnsi="Times New Roman"/>
          <w:sz w:val="26"/>
          <w:szCs w:val="26"/>
          <w:lang w:val="lv-LV"/>
        </w:rPr>
      </w:pPr>
      <w:r>
        <w:rPr>
          <w:rFonts w:ascii="Times New Roman" w:eastAsia="Times New Roman" w:hAnsi="Times New Roman"/>
          <w:sz w:val="26"/>
          <w:szCs w:val="26"/>
          <w:lang w:val="lv-LV"/>
        </w:rPr>
        <w:t>Saskaņā ar PTAL 26.</w:t>
      </w:r>
      <w:r>
        <w:rPr>
          <w:rFonts w:ascii="Times New Roman" w:eastAsia="Times New Roman" w:hAnsi="Times New Roman"/>
          <w:sz w:val="26"/>
          <w:szCs w:val="26"/>
          <w:vertAlign w:val="superscript"/>
          <w:lang w:val="lv-LV"/>
        </w:rPr>
        <w:t>12</w:t>
      </w:r>
      <w:r>
        <w:rPr>
          <w:rFonts w:ascii="Times New Roman" w:eastAsia="Times New Roman" w:hAnsi="Times New Roman"/>
          <w:sz w:val="26"/>
          <w:szCs w:val="26"/>
          <w:lang w:val="lv-LV"/>
        </w:rPr>
        <w:t xml:space="preserve"> panta septīto daļu Komisijas lēmums ir labprātīgi izpildāms 30 dienu laikā no tā spēkā stāšanās dienas.</w:t>
      </w:r>
    </w:p>
    <w:p w14:paraId="6C115E0F" w14:textId="77777777" w:rsidR="0084338E" w:rsidRDefault="00000000">
      <w:pPr>
        <w:widowControl/>
        <w:spacing w:before="240" w:after="240" w:line="240" w:lineRule="auto"/>
        <w:jc w:val="both"/>
        <w:rPr>
          <w:rFonts w:ascii="Times New Roman" w:hAnsi="Times New Roman"/>
          <w:b/>
          <w:i/>
          <w:spacing w:val="-4"/>
          <w:sz w:val="26"/>
          <w:szCs w:val="26"/>
          <w:lang w:val="lv-LV"/>
        </w:rPr>
      </w:pPr>
      <w:r>
        <w:rPr>
          <w:rFonts w:ascii="Times New Roman" w:hAnsi="Times New Roman"/>
          <w:b/>
          <w:i/>
          <w:spacing w:val="-4"/>
          <w:sz w:val="26"/>
          <w:szCs w:val="26"/>
          <w:lang w:val="lv-LV"/>
        </w:rPr>
        <w:t>Šis dokuments ir parakstīts ar drošu elektronisko parakstu un satur laika zīmogu.</w:t>
      </w:r>
    </w:p>
    <w:p w14:paraId="71526559" w14:textId="77777777" w:rsidR="0084338E" w:rsidRDefault="00000000">
      <w:pPr>
        <w:widowControl/>
        <w:tabs>
          <w:tab w:val="left" w:pos="6804"/>
        </w:tabs>
        <w:spacing w:before="480" w:after="0" w:line="240" w:lineRule="auto"/>
        <w:jc w:val="both"/>
        <w:rPr>
          <w:rFonts w:ascii="Times New Roman" w:eastAsia="Times New Roman" w:hAnsi="Times New Roman"/>
          <w:sz w:val="26"/>
          <w:szCs w:val="26"/>
          <w:lang w:val="lv-LV" w:eastAsia="lv-LV"/>
        </w:rPr>
      </w:pPr>
      <w:bookmarkStart w:id="3" w:name="_Hlk69221613"/>
      <w:r>
        <w:rPr>
          <w:rFonts w:ascii="Times New Roman" w:eastAsia="Times New Roman" w:hAnsi="Times New Roman"/>
          <w:sz w:val="26"/>
          <w:szCs w:val="26"/>
          <w:lang w:val="lv-LV" w:eastAsia="lv-LV"/>
        </w:rPr>
        <w:t>Komisijas priekšsēdētāja</w:t>
      </w:r>
      <w:r>
        <w:rPr>
          <w:rFonts w:ascii="Times New Roman" w:eastAsia="Times New Roman" w:hAnsi="Times New Roman"/>
          <w:sz w:val="26"/>
          <w:szCs w:val="26"/>
          <w:lang w:val="lv-LV" w:eastAsia="lv-LV"/>
        </w:rPr>
        <w:tab/>
      </w:r>
      <w:bookmarkEnd w:id="3"/>
      <w:r>
        <w:rPr>
          <w:rFonts w:ascii="Times New Roman" w:eastAsia="Times New Roman" w:hAnsi="Times New Roman"/>
          <w:sz w:val="26"/>
          <w:szCs w:val="26"/>
          <w:lang w:val="lv-LV" w:eastAsia="lv-LV"/>
        </w:rPr>
        <w:t>A. Biksiniece</w:t>
      </w:r>
    </w:p>
    <w:sectPr w:rsidR="0084338E">
      <w:headerReference w:type="default" r:id="rId7"/>
      <w:footerReference w:type="default" r:id="rId8"/>
      <w:headerReference w:type="first" r:id="rId9"/>
      <w:footerReference w:type="first" r:id="rId10"/>
      <w:pgSz w:w="11906" w:h="16838"/>
      <w:pgMar w:top="851" w:right="1134" w:bottom="1276"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A0B5" w14:textId="77777777" w:rsidR="00223010" w:rsidRDefault="00223010">
      <w:pPr>
        <w:spacing w:after="0" w:line="240" w:lineRule="auto"/>
      </w:pPr>
      <w:r>
        <w:separator/>
      </w:r>
    </w:p>
  </w:endnote>
  <w:endnote w:type="continuationSeparator" w:id="0">
    <w:p w14:paraId="35219510" w14:textId="77777777" w:rsidR="00223010" w:rsidRDefault="0022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403026"/>
      <w:docPartObj>
        <w:docPartGallery w:val="Page Numbers (Bottom of Page)"/>
        <w:docPartUnique/>
      </w:docPartObj>
    </w:sdtPr>
    <w:sdtContent>
      <w:p w14:paraId="26ECBDBC" w14:textId="77777777" w:rsidR="0084338E" w:rsidRDefault="00000000">
        <w:pPr>
          <w:pStyle w:val="Footer"/>
          <w:jc w:val="center"/>
        </w:pPr>
        <w:r>
          <w:fldChar w:fldCharType="begin"/>
        </w:r>
        <w:r>
          <w:instrText>PAGE</w:instrText>
        </w:r>
        <w:r>
          <w:fldChar w:fldCharType="separate"/>
        </w:r>
        <w: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EA26" w14:textId="77777777" w:rsidR="0084338E" w:rsidRDefault="00843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B835" w14:textId="77777777" w:rsidR="00223010" w:rsidRDefault="00223010">
      <w:pPr>
        <w:spacing w:after="0" w:line="240" w:lineRule="auto"/>
      </w:pPr>
      <w:r>
        <w:separator/>
      </w:r>
    </w:p>
  </w:footnote>
  <w:footnote w:type="continuationSeparator" w:id="0">
    <w:p w14:paraId="5BDD7AF0" w14:textId="77777777" w:rsidR="00223010" w:rsidRDefault="00223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B057" w14:textId="77777777" w:rsidR="0084338E" w:rsidRDefault="00843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844A" w14:textId="77777777" w:rsidR="0084338E" w:rsidRDefault="0084338E">
    <w:pPr>
      <w:pStyle w:val="Header"/>
      <w:jc w:val="both"/>
      <w:rPr>
        <w:rFonts w:ascii="Times New Roman" w:hAnsi="Times New Roman"/>
        <w:sz w:val="24"/>
        <w:szCs w:val="24"/>
      </w:rPr>
    </w:pPr>
  </w:p>
  <w:p w14:paraId="2F0A011F" w14:textId="77777777" w:rsidR="0084338E" w:rsidRDefault="0084338E">
    <w:pPr>
      <w:pStyle w:val="Header"/>
      <w:jc w:val="both"/>
      <w:rPr>
        <w:rFonts w:ascii="Times New Roman" w:hAnsi="Times New Roman"/>
        <w:sz w:val="24"/>
        <w:szCs w:val="24"/>
      </w:rPr>
    </w:pPr>
  </w:p>
  <w:p w14:paraId="2DD9CDDE" w14:textId="77777777" w:rsidR="0084338E" w:rsidRDefault="0084338E">
    <w:pPr>
      <w:pStyle w:val="Header"/>
      <w:jc w:val="both"/>
      <w:rPr>
        <w:rFonts w:ascii="Times New Roman" w:hAnsi="Times New Roman"/>
        <w:sz w:val="24"/>
        <w:szCs w:val="24"/>
      </w:rPr>
    </w:pPr>
  </w:p>
  <w:p w14:paraId="17BB7BB1" w14:textId="77777777" w:rsidR="0084338E" w:rsidRDefault="0084338E">
    <w:pPr>
      <w:pStyle w:val="Header"/>
      <w:jc w:val="both"/>
      <w:rPr>
        <w:rFonts w:ascii="Times New Roman" w:hAnsi="Times New Roman"/>
        <w:sz w:val="24"/>
        <w:szCs w:val="24"/>
      </w:rPr>
    </w:pPr>
  </w:p>
  <w:p w14:paraId="0E84F811" w14:textId="77777777" w:rsidR="0084338E" w:rsidRDefault="00000000">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243F3056" wp14:editId="272E16D4">
              <wp:simplePos x="0" y="0"/>
              <wp:positionH relativeFrom="column">
                <wp:posOffset>489585</wp:posOffset>
              </wp:positionH>
              <wp:positionV relativeFrom="paragraph">
                <wp:posOffset>219075</wp:posOffset>
              </wp:positionV>
              <wp:extent cx="5144770" cy="20320"/>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4040" cy="1836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5pt" to="443.55pt,18.65pt" ID="Straight Connector 7" stroked="t" style="position:absolute;flip:y" wp14:anchorId="2450AB26">
              <v:stroke color="black" weight="12600" joinstyle="miter" endcap="flat"/>
              <v:fill o:detectmouseclick="t" on="false"/>
              <w10:wrap type="none"/>
            </v:line>
          </w:pict>
        </mc:Fallback>
      </mc:AlternateContent>
    </w:r>
    <w:r>
      <w:rPr>
        <w:rFonts w:ascii="Times New Roman" w:hAnsi="Times New Roman"/>
        <w:sz w:val="32"/>
        <w:szCs w:val="32"/>
      </w:rPr>
      <w:t>PATĒRĒTĀJU STRĪDU RISINĀŠANAS KOMISIJA</w:t>
    </w:r>
  </w:p>
  <w:p w14:paraId="1E2D5196" w14:textId="77777777" w:rsidR="0084338E" w:rsidRDefault="00000000">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4B9F9DD1" w14:textId="77777777" w:rsidR="0084338E" w:rsidRDefault="0084338E">
    <w:pPr>
      <w:pStyle w:val="Header"/>
      <w:jc w:val="both"/>
      <w:rPr>
        <w:rFonts w:ascii="Times New Roman" w:hAnsi="Times New Roman"/>
        <w:sz w:val="24"/>
        <w:szCs w:val="24"/>
      </w:rPr>
    </w:pPr>
  </w:p>
  <w:p w14:paraId="457628DA" w14:textId="77777777" w:rsidR="0084338E" w:rsidRDefault="0084338E">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8E"/>
    <w:rsid w:val="00223010"/>
    <w:rsid w:val="00686CAA"/>
    <w:rsid w:val="0084338E"/>
    <w:rsid w:val="00D9370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99D6"/>
  <w15:docId w15:val="{68881D2A-3024-4963-B158-B4360EC1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UnresolvedMention1">
    <w:name w:val="Unresolved Mention1"/>
    <w:basedOn w:val="DefaultParagraphFont"/>
    <w:uiPriority w:val="99"/>
    <w:semiHidden/>
    <w:unhideWhenUsed/>
    <w:qFormat/>
    <w:rsid w:val="007156FF"/>
    <w:rPr>
      <w:color w:val="605E5C"/>
      <w:shd w:val="clear" w:color="auto" w:fill="E1DFDD"/>
    </w:rPr>
  </w:style>
  <w:style w:type="character" w:customStyle="1" w:styleId="font">
    <w:name w:val="font"/>
    <w:basedOn w:val="DefaultParagraphFont"/>
    <w:qFormat/>
    <w:rsid w:val="00A24681"/>
  </w:style>
  <w:style w:type="character" w:styleId="UnresolvedMention">
    <w:name w:val="Unresolved Mention"/>
    <w:basedOn w:val="DefaultParagraphFont"/>
    <w:uiPriority w:val="99"/>
    <w:semiHidden/>
    <w:unhideWhenUsed/>
    <w:qFormat/>
    <w:rsid w:val="005F221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033E9F"/>
    <w:pPr>
      <w:suppressAutoHyphens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5166-BE7D-42C2-A7D0-9DEE0A22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5696</Characters>
  <Application>Microsoft Office Word</Application>
  <DocSecurity>0</DocSecurity>
  <Lines>99</Lines>
  <Paragraphs>36</Paragraphs>
  <ScaleCrop>false</ScaleCrop>
  <Company>SPecialiST RePack</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2021-12-06T11:50:00Z</cp:lastPrinted>
  <dcterms:created xsi:type="dcterms:W3CDTF">2025-10-09T11:51:00Z</dcterms:created>
  <dcterms:modified xsi:type="dcterms:W3CDTF">2025-10-09T11:51:00Z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