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ind w:firstLine="5103"/>
        <w:rPr>
          <w:rFonts w:ascii="Times New Roman" w:hAnsi="Times New Roman" w:eastAsia="Times New Roman"/>
          <w:b/>
          <w:b/>
          <w:bCs/>
          <w:sz w:val="24"/>
          <w:szCs w:val="24"/>
          <w:lang w:val="lv-LV"/>
        </w:rPr>
      </w:pPr>
      <w:bookmarkStart w:id="0" w:name="_Hlk69221613"/>
      <w:r>
        <w:rPr>
          <w:rFonts w:eastAsia="Times New Roman" w:ascii="Times New Roman" w:hAnsi="Times New Roman"/>
          <w:b/>
          <w:bCs/>
          <w:sz w:val="24"/>
          <w:szCs w:val="24"/>
          <w:lang w:val="lv-LV"/>
        </w:rPr>
        <w:t>Mārim Augstkalnam</w:t>
      </w:r>
      <w:bookmarkStart w:id="1" w:name="_Hlk191237515"/>
      <w:bookmarkEnd w:id="1"/>
    </w:p>
    <w:p>
      <w:pPr>
        <w:pStyle w:val="Normal"/>
        <w:spacing w:lineRule="auto" w:line="240" w:before="0" w:after="0"/>
        <w:ind w:firstLine="5103"/>
        <w:rPr>
          <w:rFonts w:ascii="Times New Roman" w:hAnsi="Times New Roman" w:eastAsia="Times New Roman"/>
          <w:b/>
          <w:b/>
          <w:bCs/>
          <w:sz w:val="24"/>
          <w:szCs w:val="24"/>
          <w:lang w:val="lv-LV"/>
        </w:rPr>
      </w:pPr>
      <w:r>
        <w:rPr>
          <w:rFonts w:eastAsia="Times New Roman" w:ascii="Times New Roman" w:hAnsi="Times New Roman"/>
          <w:b/>
          <w:bCs/>
          <w:sz w:val="24"/>
          <w:szCs w:val="24"/>
          <w:lang w:val="lv-LV"/>
        </w:rPr>
        <w:t>marisaugstkalns@inbox.lv</w:t>
      </w:r>
    </w:p>
    <w:p>
      <w:pPr>
        <w:pStyle w:val="Normal"/>
        <w:spacing w:lineRule="auto" w:line="240" w:before="120" w:after="0"/>
        <w:ind w:firstLine="5103"/>
        <w:rPr>
          <w:rFonts w:ascii="Times New Roman" w:hAnsi="Times New Roman" w:eastAsia="Times New Roman"/>
          <w:b/>
          <w:b/>
          <w:bCs/>
          <w:sz w:val="24"/>
          <w:szCs w:val="24"/>
          <w:lang w:val="lv-LV"/>
        </w:rPr>
      </w:pPr>
      <w:r>
        <w:rPr>
          <w:rFonts w:eastAsia="Times New Roman" w:ascii="Times New Roman" w:hAnsi="Times New Roman"/>
          <w:b/>
          <w:bCs/>
          <w:sz w:val="24"/>
          <w:szCs w:val="24"/>
          <w:lang w:val="lv-LV"/>
        </w:rPr>
        <w:t>SIA “ZEVA AUTO”</w:t>
      </w:r>
      <w:bookmarkStart w:id="2" w:name="_Hlk191237577"/>
      <w:bookmarkEnd w:id="2"/>
    </w:p>
    <w:p>
      <w:pPr>
        <w:pStyle w:val="Normal"/>
        <w:spacing w:lineRule="auto" w:line="240" w:before="0" w:after="0"/>
        <w:ind w:firstLine="5103"/>
        <w:rPr>
          <w:rFonts w:ascii="Times New Roman" w:hAnsi="Times New Roman" w:eastAsia="Times New Roman"/>
          <w:b/>
          <w:b/>
          <w:bCs/>
          <w:sz w:val="24"/>
          <w:szCs w:val="24"/>
          <w:lang w:val="lv-LV"/>
        </w:rPr>
      </w:pPr>
      <w:r>
        <w:rPr>
          <w:rFonts w:eastAsia="Times New Roman" w:ascii="Times New Roman" w:hAnsi="Times New Roman"/>
          <w:b/>
          <w:bCs/>
          <w:sz w:val="24"/>
          <w:szCs w:val="24"/>
          <w:lang w:val="lv-LV"/>
        </w:rPr>
        <w:t>Reģ. Nr. 40103942814</w:t>
      </w:r>
    </w:p>
    <w:p>
      <w:pPr>
        <w:pStyle w:val="Normal"/>
        <w:spacing w:lineRule="auto" w:line="240" w:before="0" w:after="0"/>
        <w:ind w:firstLine="5103"/>
        <w:rPr>
          <w:rFonts w:ascii="Times New Roman" w:hAnsi="Times New Roman"/>
          <w:b/>
          <w:b/>
          <w:bCs/>
          <w:sz w:val="24"/>
          <w:szCs w:val="24"/>
          <w:lang w:val="lv-LV"/>
        </w:rPr>
      </w:pPr>
      <w:r>
        <w:rPr>
          <w:rFonts w:ascii="Times New Roman" w:hAnsi="Times New Roman"/>
          <w:b/>
          <w:bCs/>
          <w:sz w:val="24"/>
          <w:szCs w:val="24"/>
          <w:lang w:val="lv-LV"/>
        </w:rPr>
        <w:t>Paziņošanai E-adresē</w:t>
      </w:r>
    </w:p>
    <w:p>
      <w:pPr>
        <w:pStyle w:val="Normal"/>
        <w:spacing w:lineRule="auto" w:line="240" w:before="0" w:after="0"/>
        <w:rPr>
          <w:rFonts w:ascii="Times New Roman" w:hAnsi="Times New Roman"/>
          <w:b/>
          <w:b/>
          <w:bCs/>
          <w:sz w:val="24"/>
          <w:szCs w:val="24"/>
          <w:lang w:val="lv-LV"/>
        </w:rPr>
      </w:pPr>
      <w:r>
        <w:rPr>
          <w:rFonts w:ascii="Times New Roman" w:hAnsi="Times New Roman"/>
          <w:b/>
          <w:bCs/>
          <w:sz w:val="24"/>
          <w:szCs w:val="24"/>
          <w:lang w:val="lv-LV"/>
        </w:rPr>
      </w:r>
    </w:p>
    <w:p>
      <w:pPr>
        <w:pStyle w:val="Normal"/>
        <w:widowControl/>
        <w:spacing w:lineRule="auto" w:line="240" w:before="360" w:after="0"/>
        <w:jc w:val="center"/>
        <w:rPr>
          <w:rFonts w:ascii="Times New Roman" w:hAnsi="Times New Roman" w:eastAsia="Times New Roman"/>
          <w:b/>
          <w:b/>
          <w:sz w:val="24"/>
          <w:szCs w:val="24"/>
          <w:lang w:val="lv-LV" w:eastAsia="lv-LV"/>
        </w:rPr>
      </w:pPr>
      <w:bookmarkStart w:id="3" w:name="_Hlk71527338"/>
      <w:r>
        <w:rPr>
          <w:rFonts w:eastAsia="Times New Roman" w:ascii="Times New Roman" w:hAnsi="Times New Roman"/>
          <w:b/>
          <w:sz w:val="24"/>
          <w:szCs w:val="24"/>
          <w:lang w:val="lv-LV" w:eastAsia="lv-LV"/>
        </w:rPr>
        <w:t>Lēmums</w:t>
      </w:r>
    </w:p>
    <w:p>
      <w:pPr>
        <w:pStyle w:val="Normal"/>
        <w:widowControl/>
        <w:spacing w:lineRule="auto" w:line="240" w:before="0" w:after="0"/>
        <w:jc w:val="center"/>
        <w:rPr>
          <w:rFonts w:ascii="Times New Roman" w:hAnsi="Times New Roman" w:eastAsia="Times New Roman"/>
          <w:b/>
          <w:b/>
          <w:sz w:val="24"/>
          <w:szCs w:val="24"/>
          <w:lang w:val="lv-LV" w:eastAsia="lv-LV"/>
        </w:rPr>
      </w:pPr>
      <w:r>
        <w:rPr>
          <w:rFonts w:eastAsia="Times New Roman" w:ascii="Times New Roman" w:hAnsi="Times New Roman"/>
          <w:b/>
          <w:sz w:val="24"/>
          <w:szCs w:val="24"/>
          <w:lang w:val="lv-LV" w:eastAsia="lv-LV"/>
        </w:rPr>
        <w:t>par strīdu</w:t>
      </w:r>
    </w:p>
    <w:p>
      <w:pPr>
        <w:pStyle w:val="Normal"/>
        <w:widowControl/>
        <w:spacing w:lineRule="auto" w:line="240" w:before="0" w:after="0"/>
        <w:jc w:val="center"/>
        <w:rPr>
          <w:rFonts w:ascii="Times New Roman" w:hAnsi="Times New Roman" w:eastAsia="Times New Roman"/>
          <w:sz w:val="24"/>
          <w:szCs w:val="24"/>
          <w:lang w:val="lv-LV" w:eastAsia="lv-LV"/>
        </w:rPr>
      </w:pPr>
      <w:r>
        <w:rPr>
          <w:rFonts w:eastAsia="Times New Roman" w:ascii="Times New Roman" w:hAnsi="Times New Roman"/>
          <w:sz w:val="24"/>
          <w:szCs w:val="24"/>
          <w:lang w:val="lv-LV" w:eastAsia="lv-LV"/>
        </w:rPr>
        <w:t>Rīgā</w:t>
      </w:r>
    </w:p>
    <w:p>
      <w:pPr>
        <w:pStyle w:val="Normal"/>
        <w:widowControl/>
        <w:tabs>
          <w:tab w:val="clear" w:pos="720"/>
          <w:tab w:val="left" w:pos="7230" w:leader="none"/>
        </w:tabs>
        <w:spacing w:lineRule="auto" w:line="240" w:before="240" w:after="0"/>
        <w:jc w:val="both"/>
        <w:rPr>
          <w:rFonts w:ascii="Times New Roman" w:hAnsi="Times New Roman" w:eastAsia="Times New Roman"/>
          <w:sz w:val="24"/>
          <w:szCs w:val="24"/>
          <w:lang w:val="lv-LV" w:eastAsia="lv-LV"/>
        </w:rPr>
      </w:pPr>
      <w:r>
        <w:rPr>
          <w:rFonts w:eastAsia="Times New Roman" w:ascii="Times New Roman" w:hAnsi="Times New Roman"/>
          <w:sz w:val="24"/>
          <w:szCs w:val="24"/>
          <w:lang w:val="lv-LV" w:eastAsia="lv-LV"/>
        </w:rPr>
        <w:t>2025.gada 27.augustā</w:t>
        <w:tab/>
        <w:t>Nr. 2025/133-psrk</w:t>
      </w:r>
    </w:p>
    <w:p>
      <w:pPr>
        <w:pStyle w:val="Normal"/>
        <w:widowControl/>
        <w:spacing w:lineRule="auto" w:line="240" w:before="240" w:after="0"/>
        <w:ind w:firstLine="709"/>
        <w:jc w:val="both"/>
        <w:rPr>
          <w:rFonts w:ascii="Times New Roman" w:hAnsi="Times New Roman" w:eastAsia="Times New Roman"/>
          <w:sz w:val="24"/>
          <w:szCs w:val="24"/>
          <w:lang w:val="lv-LV" w:eastAsia="lv-LV"/>
        </w:rPr>
      </w:pPr>
      <w:r>
        <w:rPr>
          <w:rFonts w:eastAsia="Times New Roman" w:ascii="Times New Roman" w:hAnsi="Times New Roman"/>
          <w:sz w:val="24"/>
          <w:szCs w:val="24"/>
          <w:lang w:val="lv-LV" w:eastAsia="lv-LV"/>
        </w:rPr>
        <w:t>Patērētāju strīdu risināšanas komisija (turpmāk – Komisija) šādā sastāvā:</w:t>
      </w:r>
    </w:p>
    <w:p>
      <w:pPr>
        <w:pStyle w:val="Normal"/>
        <w:widowControl/>
        <w:spacing w:lineRule="auto" w:line="240" w:before="0" w:after="0"/>
        <w:ind w:left="720" w:firstLine="720"/>
        <w:jc w:val="both"/>
        <w:rPr>
          <w:rFonts w:ascii="Times New Roman" w:hAnsi="Times New Roman" w:eastAsia="Times New Roman"/>
          <w:sz w:val="24"/>
          <w:szCs w:val="24"/>
          <w:lang w:val="lv-LV" w:eastAsia="lv-LV"/>
        </w:rPr>
      </w:pPr>
      <w:r>
        <w:rPr>
          <w:rFonts w:eastAsia="Times New Roman" w:ascii="Times New Roman" w:hAnsi="Times New Roman"/>
          <w:sz w:val="24"/>
          <w:szCs w:val="24"/>
          <w:lang w:val="lv-LV" w:eastAsia="lv-LV"/>
        </w:rPr>
        <w:t xml:space="preserve">Komisijas priekšsēdētāja A.Biksiniece </w:t>
      </w:r>
    </w:p>
    <w:p>
      <w:pPr>
        <w:pStyle w:val="Normal"/>
        <w:widowControl/>
        <w:spacing w:lineRule="auto" w:line="240" w:before="0" w:after="0"/>
        <w:ind w:left="1440" w:hanging="0"/>
        <w:jc w:val="both"/>
        <w:rPr>
          <w:rFonts w:ascii="Times New Roman" w:hAnsi="Times New Roman" w:eastAsia="Times New Roman"/>
          <w:sz w:val="24"/>
          <w:szCs w:val="24"/>
          <w:lang w:val="lv-LV" w:eastAsia="lv-LV"/>
        </w:rPr>
      </w:pPr>
      <w:r>
        <w:rPr>
          <w:rFonts w:eastAsia="Times New Roman" w:ascii="Times New Roman" w:hAnsi="Times New Roman"/>
          <w:sz w:val="24"/>
          <w:szCs w:val="24"/>
          <w:lang w:val="lv-LV" w:eastAsia="lv-LV"/>
        </w:rPr>
        <w:t xml:space="preserve">Komisijas locekļi A.Smagars kā patērētāju interešu pārstāvis un </w:t>
      </w:r>
      <w:r>
        <w:rPr>
          <w:rFonts w:ascii="Times New Roman" w:hAnsi="Times New Roman"/>
          <w:sz w:val="24"/>
          <w:szCs w:val="24"/>
          <w:lang w:val="lv-LV"/>
        </w:rPr>
        <w:t>I.Rūtiņš</w:t>
      </w:r>
      <w:r>
        <w:rPr>
          <w:rFonts w:eastAsia="Times New Roman" w:ascii="Times New Roman" w:hAnsi="Times New Roman"/>
          <w:sz w:val="24"/>
          <w:szCs w:val="24"/>
          <w:lang w:val="lv-LV" w:eastAsia="lv-LV"/>
        </w:rPr>
        <w:t xml:space="preserve"> kā komersantu interešu pārstāvis</w:t>
      </w:r>
    </w:p>
    <w:p>
      <w:pPr>
        <w:pStyle w:val="Normal"/>
        <w:widowControl/>
        <w:suppressAutoHyphens w:val="true"/>
        <w:spacing w:lineRule="auto" w:line="240" w:before="0" w:after="0"/>
        <w:jc w:val="both"/>
        <w:rPr>
          <w:rFonts w:ascii="Times New Roman" w:hAnsi="Times New Roman" w:eastAsia="Times New Roman"/>
          <w:sz w:val="24"/>
          <w:szCs w:val="24"/>
          <w:lang w:val="lv-LV" w:eastAsia="lv-LV"/>
        </w:rPr>
      </w:pPr>
      <w:r>
        <w:rPr>
          <w:rFonts w:eastAsia="Times New Roman" w:ascii="Times New Roman" w:hAnsi="Times New Roman"/>
          <w:sz w:val="24"/>
          <w:szCs w:val="24"/>
          <w:lang w:val="lv-LV" w:eastAsia="lv-LV"/>
        </w:rPr>
        <w:t xml:space="preserve">izskatīja rakstveida procesā strīdu starp </w:t>
      </w:r>
      <w:bookmarkStart w:id="4" w:name="_Hlk152766374"/>
      <w:r>
        <w:rPr>
          <w:rFonts w:eastAsia="Times New Roman" w:ascii="Times New Roman" w:hAnsi="Times New Roman"/>
          <w:sz w:val="24"/>
          <w:szCs w:val="24"/>
          <w:lang w:val="lv-LV" w:eastAsia="lv-LV"/>
        </w:rPr>
        <w:t xml:space="preserve">Māri Augstkalnu (turpmāk – patērētājs) un SIA “ZEVA AUTO” (turpmāk – sabiedrība) </w:t>
      </w:r>
      <w:bookmarkEnd w:id="3"/>
      <w:bookmarkEnd w:id="4"/>
      <w:r>
        <w:rPr>
          <w:rFonts w:eastAsia="Times New Roman" w:ascii="Times New Roman" w:hAnsi="Times New Roman"/>
          <w:sz w:val="24"/>
          <w:szCs w:val="24"/>
          <w:lang w:val="lv-LV" w:eastAsia="lv-LV"/>
        </w:rPr>
        <w:t xml:space="preserve">par iegādātu automašīnu, kurai patērētājs ir konstatējis neatbilstību.    </w:t>
      </w:r>
    </w:p>
    <w:p>
      <w:pPr>
        <w:pStyle w:val="Normal"/>
        <w:widowControl/>
        <w:suppressAutoHyphens w:val="true"/>
        <w:spacing w:lineRule="auto" w:line="240" w:before="0" w:after="0"/>
        <w:jc w:val="both"/>
        <w:rPr>
          <w:rFonts w:ascii="Times New Roman" w:hAnsi="Times New Roman" w:eastAsia="Times New Roman"/>
          <w:sz w:val="24"/>
          <w:szCs w:val="24"/>
          <w:lang w:val="lv-LV" w:eastAsia="lv-LV"/>
        </w:rPr>
      </w:pPr>
      <w:r>
        <w:rPr>
          <w:rFonts w:eastAsia="Times New Roman" w:ascii="Times New Roman" w:hAnsi="Times New Roman"/>
          <w:sz w:val="24"/>
          <w:szCs w:val="24"/>
          <w:lang w:val="lv-LV" w:eastAsia="lv-LV"/>
        </w:rPr>
        <w:tab/>
        <w:t xml:space="preserve">No lietas materiāliem izriet, ka 2025.gada 13.janvārī patērētājs no sabiedrības iegādājās lietotu automašīnu Volvo V70 (pirmās reģistrācijas datums 2014.gada 20.septembris) par kopējo summu 6090,00 EUR apmērā. Iegādes brīdī sabiedrība norādīja, ka automašīna ir teicamā tehnikā stāvoklī, tomēr jau uzreiz pēc automašīnas  iegādes, izbraucot no tirdzniecības laukuma, uz paneļa iedegās motora brīdinājuma simbols. Sabiedrības pārdevējs notīrīja kļūdu paziņojumus un apgalvoja, ka automašīnai viss ir kārtībā. Pēc sabiedrības ieteikuma patērētājs veica automašīnas tehnisko apkopi, proti, tika veikta eļļas un filtru maiņa, kā arī saskaņā ar sākotnējo kļūdu paziņojumu nomainīta bojātā detaļa - drosele. Paveiktos darbus apliecina SIA  “Zviedru auto serviss” izsniegtā 2025.gada 21.janvāra pavadzīme un maksājumu čeks par kopējo summu 684,99 EUR. Neskatoties uz minēto, pēc nobrauktiem aptuveni 200 kilometriem, patērētājs konstatēja, ka automašīnas motoram zūd eļļa. Pēc eļļas papildināšanas un nobrauktiem vēl 200 kilometriem, motors joprojām uzrādīja zemu eļļas līmeni un vairākus bojājumus saistībā ar izplūdes traktu, kas liedz automašīnas turpmāku ekspluatāciju. Patērētāja ieskatā automašīna jau tika pārdota ar bojātu motoru. Pirkuma brīdī šos trūkumus nebija iespējams konstatēt, jo pēc kļūdas nodzēšanas paziņojumi parādās tikai pēc apmēram 100 kilometriem un eļļas zušanu var konstatēt tikai pēc 200 kilometriem. Ņemot vērā minēto, 2025.gada 29.janvārī un 31.janvārī patērētājs sabiedrībai iesniedza iesniegumus, kuros lūdza nodrošināt strīda risinājumu (pirkuma maksas atgriešanu, konstatēto defektu novēršanu, vai arī automašīnas nomaiņu), tomēr sabiedrība atbilstošus risinājumus nepiedāvāja. </w:t>
      </w:r>
    </w:p>
    <w:p>
      <w:pPr>
        <w:pStyle w:val="Normal"/>
        <w:widowControl/>
        <w:suppressAutoHyphens w:val="true"/>
        <w:spacing w:lineRule="auto" w:line="240" w:before="0" w:after="0"/>
        <w:ind w:firstLine="720"/>
        <w:jc w:val="both"/>
        <w:rPr>
          <w:rFonts w:ascii="Times New Roman" w:hAnsi="Times New Roman" w:eastAsia="Times New Roman"/>
          <w:sz w:val="24"/>
          <w:szCs w:val="24"/>
          <w:lang w:val="lv-LV" w:eastAsia="lv-LV"/>
        </w:rPr>
      </w:pPr>
      <w:r>
        <w:rPr>
          <w:rFonts w:eastAsia="Times New Roman" w:ascii="Times New Roman" w:hAnsi="Times New Roman"/>
          <w:sz w:val="24"/>
          <w:szCs w:val="24"/>
          <w:lang w:val="lv-LV" w:eastAsia="lv-LV"/>
        </w:rPr>
        <w:t xml:space="preserve">Iesnieguma izskatīšanas ietvaros sabiedrība PTAC sniedza skaidrojumu, ka automašīnai 2025.gada janvārī (vien dažas dienas pirms pārdošanas) bija izieta tehniskā apskate, kuras vērtējums ir – teicams tehniskais stāvoklis. Papildus patērētājs tika informēts, ka automašīnai ar konkrēto dzinēja apjomu (2.0) jau no ražošanas ir tāda specifika, ka tā patērē ļoti daudz eļļu. Tādējādi eļļa ir regulāri jāpielej. Tāpat tika norādīts, ka ar laiku eļļas patēriņš pieaugs. Sabiedrība paskaidro, ka automašīnas panelī esošais brīdinājuma simbols ir indikators, kas signalizē par traucējumiem motora darbībā vai pavadošajās sistēmās un var norādīt uz vairākām problēmām, tomēr jebkura no šāda veida problēmām ir saistāma ar automašīnas normālu nolietojumu. Savukārt signāllampiņa panelī ir brīdinājums tam, lai bojājumu novērstu, nomainot detaļu, vai veicot citas nepieciešamās darbības, kas atkarīgas no problēmas cēloņa. Sabiedrība norāda, ka patērētāja pretenzijas ir saistāmas ar automašīnas normālu nolietošanos, līdz ar ko sabiedrība patērētāja izvirzītās prasības uzskata par nepamatotām. </w:t>
      </w:r>
    </w:p>
    <w:p>
      <w:pPr>
        <w:pStyle w:val="Normal"/>
        <w:spacing w:lineRule="auto" w:line="240" w:before="0" w:after="0"/>
        <w:ind w:firstLine="720"/>
        <w:jc w:val="both"/>
        <w:rPr>
          <w:rFonts w:ascii="Times New Roman" w:hAnsi="Times New Roman"/>
          <w:sz w:val="24"/>
          <w:szCs w:val="24"/>
          <w:lang w:val="lv-LV"/>
        </w:rPr>
      </w:pPr>
      <w:r>
        <w:rPr>
          <w:rFonts w:ascii="Times New Roman" w:hAnsi="Times New Roman"/>
          <w:sz w:val="24"/>
          <w:szCs w:val="24"/>
          <w:lang w:val="lv-LV"/>
        </w:rPr>
        <w:t xml:space="preserve">Ņemot vērā, ka PTAC sniegtā palīdzība strīda risināšanā nebija sniegusi rezultātu, patērētājs iesniedza iesniegumu Patērētāju strīdu risināšanas komisijai (turpmāk – Komisija), lūdzot atzīt iegādāto automašīnu par līguma noteikumiem neatbilstošu, uzliekot sabiedrībai pienākumu izpildīt kādu no izvirzītajām prasībām – neatbilstības novēršanu par sabiedrības līdzekļiem, automašīnas nomaiņu pret līdzvērtīgu vai arī pirkuma maksas atgriešanu. Vienlaikus patērētājs norāda, ka, lai pārliecinātos par automašīnas tehnisko stāvokli, 2025.gada 21.martā patērētājs vērsās oficiālajā Volvo pārstāvja servisā </w:t>
      </w:r>
      <w:bookmarkStart w:id="5" w:name="_Hlk207189930"/>
      <w:r>
        <w:rPr>
          <w:rFonts w:ascii="Times New Roman" w:hAnsi="Times New Roman"/>
          <w:sz w:val="24"/>
          <w:szCs w:val="24"/>
          <w:lang w:val="lv-LV"/>
        </w:rPr>
        <w:t>SIA “Mūsa Motors Rīga”</w:t>
      </w:r>
      <w:bookmarkEnd w:id="5"/>
      <w:r>
        <w:rPr>
          <w:rFonts w:ascii="Times New Roman" w:hAnsi="Times New Roman"/>
          <w:sz w:val="24"/>
          <w:szCs w:val="24"/>
          <w:lang w:val="lv-LV"/>
        </w:rPr>
        <w:t>. Minētais serviss izsniedza automašīnai diagnosticēto kļūdu sarakstu, kā arī remonta piedāvājuma tāmi par sākotnējām izmaksām 16027,95 EUR apmērā.</w:t>
      </w:r>
      <w:r>
        <w:rPr>
          <w:lang w:val="lv-LV"/>
        </w:rPr>
        <w:t xml:space="preserve"> </w:t>
      </w:r>
      <w:r>
        <w:rPr>
          <w:rFonts w:ascii="Times New Roman" w:hAnsi="Times New Roman"/>
          <w:sz w:val="24"/>
          <w:szCs w:val="24"/>
          <w:lang w:val="lv-LV"/>
        </w:rPr>
        <w:t>Iesniegumā Komisijai patērētājs arī norāda uz nepatiesi norādītiem odometra rādījumiem. Proti, pirkuma līgumā odometra rādījums (315150 kilometri) ir norādīts mazāks nekā reālais rādījums pirkuma dienā 2025.gada 13.janvarī, ko apliecina Ceļu satiksmes drošības direkcijas ieraksts tehniskās apskates dienā 2025.gada 8.janvārī  (315852 kilometri).</w:t>
      </w:r>
    </w:p>
    <w:p>
      <w:pPr>
        <w:pStyle w:val="Normal"/>
        <w:spacing w:lineRule="auto" w:line="240" w:before="0" w:after="0"/>
        <w:ind w:firstLine="720"/>
        <w:jc w:val="both"/>
        <w:rPr>
          <w:rFonts w:ascii="Times New Roman" w:hAnsi="Times New Roman"/>
          <w:sz w:val="24"/>
          <w:szCs w:val="24"/>
          <w:lang w:val="lv-LV"/>
        </w:rPr>
      </w:pPr>
      <w:r>
        <w:rPr>
          <w:rFonts w:ascii="Times New Roman" w:hAnsi="Times New Roman"/>
          <w:sz w:val="24"/>
          <w:szCs w:val="24"/>
          <w:lang w:val="lv-LV"/>
        </w:rPr>
        <w:t xml:space="preserve">Sabiedrība sniedza skaidrojumu Komisijai, ka patērētāja iesniegtajā diagnosticēto kļūdu sarakstā norādītās kļūdas saistāmas ar normālu nolietojumu un nav uzskatāms par slēptu defektu. Attiecībā uz odometra rādījumu, sabiedrība norāda, ka tā ir acīmredzama pārrakstīšanās kļūda, turklāt faktiskais odometra rādījums bija redzams automašīnas panelī pirkuma dienā. Sabiedrība joprojām patērētāja izvirzītās prasības uzskata par nepamatotām. </w:t>
      </w:r>
    </w:p>
    <w:p>
      <w:pPr>
        <w:pStyle w:val="Normal"/>
        <w:spacing w:lineRule="auto" w:line="240" w:before="0" w:after="0"/>
        <w:ind w:firstLine="720"/>
        <w:jc w:val="both"/>
        <w:rPr>
          <w:rFonts w:ascii="Times New Roman" w:hAnsi="Times New Roman"/>
          <w:sz w:val="24"/>
          <w:szCs w:val="24"/>
          <w:lang w:val="lv-LV"/>
        </w:rPr>
      </w:pPr>
      <w:r>
        <w:rPr>
          <w:rFonts w:ascii="Times New Roman" w:hAnsi="Times New Roman"/>
          <w:sz w:val="24"/>
          <w:szCs w:val="24"/>
          <w:lang w:val="lv-LV"/>
        </w:rPr>
        <w:t xml:space="preserve">Komisija skaidro, ka Patērētāju tiesību aizsardzības likumā (turpmāk – PTAL) ietvertais regulējums par līguma noteikumiem neatbilstošu preci atteicas ne tikai uz jaunām, bet arī lietotām precēm, tādējādi pārdevējs ir atbildīgs par preci, ko tas pārdod, un patērētājs var sagaidīt, ka arī lietota prece pildīs savu pamatfunkciju, ja vien no līguma noteikumiem neizriet pretējais. </w:t>
      </w:r>
    </w:p>
    <w:p>
      <w:pPr>
        <w:pStyle w:val="Normal"/>
        <w:spacing w:lineRule="auto" w:line="240" w:before="0" w:after="0"/>
        <w:ind w:firstLine="720"/>
        <w:jc w:val="both"/>
        <w:rPr>
          <w:rFonts w:ascii="Times New Roman" w:hAnsi="Times New Roman"/>
          <w:sz w:val="24"/>
          <w:szCs w:val="24"/>
          <w:lang w:val="lv-LV"/>
        </w:rPr>
      </w:pPr>
      <w:r>
        <w:rPr>
          <w:rFonts w:ascii="Times New Roman" w:hAnsi="Times New Roman"/>
          <w:sz w:val="24"/>
          <w:szCs w:val="24"/>
          <w:lang w:val="lv-LV"/>
        </w:rPr>
        <w:t xml:space="preserve">Preces atbilstība līguma noteikumiem ir definēta PTAL 14.pantā. Atbilstoši PTAL 14.panta pirmās daļas 1.punktam prece atbilst līguma noteikumiem, ja tā atbilst pārdevēja sniegtajam  preces aprakstam, norādītajam preces veidam, daudzumam un kvalitātei, kā arī funkcionalitātei, saderībai, sadarbspējām un citām iezīmēm. Līdz ar to jāņem vērā, ka, iegādājoties lietotu preci, nevar gaidīt, ka tai piemitīs tādas pašas īpašības un izpildījums, kāds parasti piemīt un kādu var sagaidīt no jaunas preces. Atbilstība līguma noteikumiem lietotai automašīnai jāvērtē, ņemot vērā īpašības un izpildījumu, kāds parasti piemīt attiecīgā gada, nobraukuma un vizuālā/tehniskā stāvokļa automašīnām. Vienlaikus PTAL 13.panta trešajā daļā ir ietverta likumiska prezumpcija par faktu, ka pārdevēja pārdotā prece jau tā iegādes dienā neatbilda līguma noteikumiem, ja neatbilstība atklājas gada laikā pēc preces piegādes, izņemot gadījumu, kad šāds pieņēmums ir pretrunā ar preces raksturu vai neatbilstības veidu. Šo prezumpciju pārdevējs var atspēkot, pierādot, ka piegādes brīdī neatbilstība nepastāvēja.  </w:t>
      </w:r>
    </w:p>
    <w:p>
      <w:pPr>
        <w:pStyle w:val="Normal"/>
        <w:spacing w:lineRule="auto" w:line="240" w:before="0" w:after="0"/>
        <w:ind w:firstLine="720"/>
        <w:jc w:val="both"/>
        <w:rPr>
          <w:rFonts w:ascii="Times New Roman" w:hAnsi="Times New Roman"/>
          <w:sz w:val="24"/>
          <w:szCs w:val="24"/>
          <w:lang w:val="lv-LV"/>
        </w:rPr>
      </w:pPr>
      <w:r>
        <w:rPr>
          <w:rFonts w:ascii="Times New Roman" w:hAnsi="Times New Roman"/>
          <w:sz w:val="24"/>
          <w:szCs w:val="24"/>
          <w:lang w:val="lv-LV"/>
        </w:rPr>
        <w:t>Iepazīstoties ar lietas dokumentiem, Komisija norāda, ka lietā pieejamais SIA “Mūsa Motors Rīga” izsniegtais diagnostikas slēdziens viennozīmīgi pierāda, ka iegādātajai automašīnai ir problēmas ar motoru. Komisijas ieskatā patērētājs ir iesniedzis pietiekamus pierādījumus, no kuriem ir iespējams secināt, ka iegādātajai automašīnai patiešām ir šāds defekts, proti, bojāts motors. Komisija uzsver, ka automašīnas neatbilstība tika konstatēta gada laikā pēc automašīnas piegādes, un Komisijas ieskatā sabiedrība saskaņā ar PTAL 13.panta trešo daļu nav pierādījusi, ka iegādes brīdī automašīnai nebija problēmas ar motoru. Līdz ar ko tiek pieņemts, ka problēma ar motoru pastāvēja jau automašīnas iegādes brīdī. Komisijas ieskatā šāds defekts ir pietiekami nozīmīgs, lai secinātu, ka iegādātā automašīna ir uzskatāma par līguma noteikumiem neatbilstošu preci. Sabiedrībai būtu jābūt atbildīgai par šādas neatbilstības novēršanu.</w:t>
      </w:r>
    </w:p>
    <w:p>
      <w:pPr>
        <w:pStyle w:val="Normal"/>
        <w:spacing w:lineRule="auto" w:line="240" w:before="0" w:after="0"/>
        <w:ind w:firstLine="720"/>
        <w:jc w:val="both"/>
        <w:rPr>
          <w:rFonts w:ascii="Times New Roman" w:hAnsi="Times New Roman"/>
          <w:sz w:val="24"/>
          <w:szCs w:val="24"/>
          <w:lang w:val="lv-LV"/>
        </w:rPr>
      </w:pPr>
      <w:r>
        <w:rPr>
          <w:rFonts w:eastAsia="Times New Roman" w:ascii="Times New Roman" w:hAnsi="Times New Roman"/>
          <w:sz w:val="24"/>
          <w:szCs w:val="24"/>
          <w:lang w:val="lv-LV" w:eastAsia="lv-LV"/>
        </w:rPr>
        <w:t xml:space="preserve">Ņemot vērā, ka patērētājs ir iegādājies līguma noteikumiem neatbilstošu automašīnu saskaņā ar PTAL 14.pantu, sabiedrības pienākums ir novērst neatbilstību, atbilstoši patērētāja izvirzītajai prasībai saskaņā ar PTAL noteikto kārtību. Komisija norāda, ka </w:t>
      </w:r>
      <w:r>
        <w:rPr>
          <w:rFonts w:ascii="Times New Roman" w:hAnsi="Times New Roman"/>
          <w:sz w:val="24"/>
          <w:szCs w:val="24"/>
          <w:lang w:val="lv-LV"/>
        </w:rPr>
        <w:t xml:space="preserve">PTAL 28.panta otrajā daļā ir noteikts, ka vispirms patērētājs ir tiesīgs izvēlēties, lai pārdevējs bez atlīdzības novērš preces neatbilstību līguma noteikumiem vai bez atlīdzības apmaina preci pret tādu, ar kuru būtu nodrošināta atbilstība līguma noteikumiem, izņemot gadījumu, kad tas nav iespējams vai tas ir nesamērīgi. Savukārt PTAL 28.panta piektā daļa paredz, ka cenas samazinājumu vai līguma atcelšanu un par preci samaksātās naudas atgriešanu patērētājs ir tiesīgs prasīt tikai iestājoties kādam no nosacījumiem, kuri uzskaitīti PTAL 28.panta piektā daļas apakšpunktos. Piemēram, pārdevējs saprātīgā termiņā nav novērsis preces neatbilstību līguma noteikumiem vai arī, neraugoties uz pārdevēja centieniem, preces neatbilstība joprojām nav novērsta. </w:t>
      </w:r>
    </w:p>
    <w:p>
      <w:pPr>
        <w:pStyle w:val="Normal"/>
        <w:spacing w:lineRule="auto" w:line="240" w:before="0" w:after="0"/>
        <w:ind w:firstLine="720"/>
        <w:jc w:val="both"/>
        <w:rPr>
          <w:rFonts w:ascii="Times New Roman" w:hAnsi="Times New Roman"/>
          <w:sz w:val="24"/>
          <w:szCs w:val="24"/>
          <w:lang w:val="lv-LV"/>
        </w:rPr>
      </w:pPr>
      <w:r>
        <w:rPr>
          <w:rFonts w:ascii="Times New Roman" w:hAnsi="Times New Roman"/>
          <w:sz w:val="24"/>
          <w:szCs w:val="24"/>
          <w:lang w:val="lv-LV"/>
        </w:rPr>
        <w:t xml:space="preserve">Iesniegumā Komisijai patērētājs ir norādījis, ka vēlas, lai sabiedrība izpildītu vienu no prasībām - neatbilstības novēršanu par sabiedrības līdzekļiem, automašīnas nomaiņu pret līdzvērtīgu vai arī pirkuma maksas atgriešanu. Komisijas ieskatā – patērētājs būtu tiesīgs izvirzīts prasību par naudas atgriešanu saskaņā ar PTAL 28.panta piekto daļu. Komisija vērš uzmanību, ka strīds tiek risināts ilgstoši un visu šo laiku patērētāja rīcībā ir automašīna, kura nav izmantojama nolūkam, kādēļ patērētājs to ir iegādājies. Tādējādi ir uzskatāms, ka neatbilstība nav novērsta saprātīgā termiņā. Komisija arī norāda, ka tās ieskatā remonta veikšana nav uzskatāma par ekonomiski pamatotu, jo remonta izmaksas var sasniegt vai pat pārsniegt automašīnas vērtību. Tāpat Komisijai nav pārliecības, ka sabiedrība varētu nodrošināt automašīnas nomaiņu pret līguma noteikumiem atbilstošu. Ņemot vērā minēto, patērētājam iegādātā automašīna būtu jānogādā atpakaļ sabiedrībai, un sabiedrībai būtu jāatgriež patērētājam pirkuma maksa 6 090,00 EUR apmērā. </w:t>
      </w:r>
    </w:p>
    <w:p>
      <w:pPr>
        <w:pStyle w:val="Normal"/>
        <w:spacing w:lineRule="auto" w:line="240" w:before="0" w:after="0"/>
        <w:ind w:firstLine="720"/>
        <w:jc w:val="both"/>
        <w:rPr>
          <w:rFonts w:ascii="Times New Roman" w:hAnsi="Times New Roman"/>
          <w:sz w:val="24"/>
          <w:szCs w:val="24"/>
          <w:lang w:val="lv-LV"/>
        </w:rPr>
      </w:pPr>
      <w:r>
        <w:rPr>
          <w:rFonts w:ascii="Times New Roman" w:hAnsi="Times New Roman"/>
          <w:sz w:val="24"/>
          <w:szCs w:val="24"/>
          <w:lang w:val="lv-LV"/>
        </w:rPr>
        <w:t>Papildus Komisija paskaidro, ka saskaņā ar PTAL 26.</w:t>
      </w:r>
      <w:r>
        <w:rPr>
          <w:rFonts w:ascii="Times New Roman" w:hAnsi="Times New Roman"/>
          <w:sz w:val="24"/>
          <w:szCs w:val="24"/>
          <w:vertAlign w:val="superscript"/>
          <w:lang w:val="lv-LV"/>
        </w:rPr>
        <w:t>3</w:t>
      </w:r>
      <w:r>
        <w:rPr>
          <w:rFonts w:ascii="Times New Roman" w:hAnsi="Times New Roman"/>
          <w:sz w:val="24"/>
          <w:szCs w:val="24"/>
          <w:lang w:val="lv-LV"/>
        </w:rPr>
        <w:t xml:space="preserve"> panta piektās daļas 9.punktu Komisija nerisina strīdus par zaudējumu atlīdzību. Līdz ar ko strīds par izmaksām, kuras patērētājam radās, veicot iegādātās automašīnas remontdarbus par saviem līdzekļiem, turpmāk ir risināms civilprocesuālā kārtībā tiesā.  </w:t>
      </w:r>
    </w:p>
    <w:p>
      <w:pPr>
        <w:pStyle w:val="Normal"/>
        <w:spacing w:lineRule="auto" w:line="240" w:before="0" w:after="0"/>
        <w:ind w:firstLine="720"/>
        <w:jc w:val="both"/>
        <w:rPr>
          <w:rFonts w:ascii="Times New Roman" w:hAnsi="Times New Roman" w:eastAsia="Times New Roman"/>
          <w:sz w:val="24"/>
          <w:szCs w:val="24"/>
          <w:lang w:val="lv-LV" w:eastAsia="lv-LV"/>
        </w:rPr>
      </w:pPr>
      <w:r>
        <w:rPr>
          <w:rFonts w:eastAsia="Times New Roman" w:ascii="Times New Roman" w:hAnsi="Times New Roman"/>
          <w:sz w:val="24"/>
          <w:szCs w:val="24"/>
          <w:lang w:val="lv-LV" w:eastAsia="lv-LV"/>
        </w:rPr>
        <w:t>Ņemot vērā minēto, Komisija, pamatojoties uz Patērētāju tiesību aizsardzības likuma 14.panta pirmās daļas 1.punktu, 26.</w:t>
      </w:r>
      <w:r>
        <w:rPr>
          <w:rFonts w:eastAsia="Times New Roman" w:ascii="Times New Roman" w:hAnsi="Times New Roman"/>
          <w:sz w:val="24"/>
          <w:szCs w:val="24"/>
          <w:vertAlign w:val="superscript"/>
          <w:lang w:val="lv-LV" w:eastAsia="lv-LV"/>
        </w:rPr>
        <w:t>3</w:t>
      </w:r>
      <w:r>
        <w:rPr>
          <w:rFonts w:eastAsia="Times New Roman" w:ascii="Times New Roman" w:hAnsi="Times New Roman"/>
          <w:sz w:val="24"/>
          <w:szCs w:val="24"/>
          <w:lang w:val="lv-LV" w:eastAsia="lv-LV"/>
        </w:rPr>
        <w:t xml:space="preserve"> panta pirmo daļu, 26.</w:t>
      </w:r>
      <w:r>
        <w:rPr>
          <w:rFonts w:eastAsia="Times New Roman" w:ascii="Times New Roman" w:hAnsi="Times New Roman"/>
          <w:sz w:val="24"/>
          <w:szCs w:val="24"/>
          <w:vertAlign w:val="superscript"/>
          <w:lang w:val="lv-LV" w:eastAsia="lv-LV"/>
        </w:rPr>
        <w:t xml:space="preserve">4 </w:t>
      </w:r>
      <w:r>
        <w:rPr>
          <w:rFonts w:eastAsia="Times New Roman" w:ascii="Times New Roman" w:hAnsi="Times New Roman"/>
          <w:sz w:val="24"/>
          <w:szCs w:val="24"/>
          <w:lang w:val="lv-LV" w:eastAsia="lv-LV"/>
        </w:rPr>
        <w:t>panta pirmo un otro daļu, 26.</w:t>
      </w:r>
      <w:r>
        <w:rPr>
          <w:rFonts w:eastAsia="Times New Roman" w:ascii="Times New Roman" w:hAnsi="Times New Roman"/>
          <w:sz w:val="24"/>
          <w:szCs w:val="24"/>
          <w:vertAlign w:val="superscript"/>
          <w:lang w:val="lv-LV" w:eastAsia="lv-LV"/>
        </w:rPr>
        <w:t>11</w:t>
      </w:r>
      <w:r>
        <w:rPr>
          <w:rFonts w:eastAsia="Times New Roman" w:ascii="Times New Roman" w:hAnsi="Times New Roman"/>
          <w:sz w:val="24"/>
          <w:szCs w:val="24"/>
          <w:lang w:val="lv-LV" w:eastAsia="lv-LV"/>
        </w:rPr>
        <w:t xml:space="preserve"> panta pirmo daļu, 26.</w:t>
      </w:r>
      <w:r>
        <w:rPr>
          <w:rFonts w:eastAsia="Times New Roman" w:ascii="Times New Roman" w:hAnsi="Times New Roman"/>
          <w:sz w:val="24"/>
          <w:szCs w:val="24"/>
          <w:vertAlign w:val="superscript"/>
          <w:lang w:val="lv-LV" w:eastAsia="lv-LV"/>
        </w:rPr>
        <w:t>12</w:t>
      </w:r>
      <w:r>
        <w:rPr>
          <w:rFonts w:eastAsia="Times New Roman" w:ascii="Times New Roman" w:hAnsi="Times New Roman"/>
          <w:sz w:val="24"/>
          <w:szCs w:val="24"/>
          <w:lang w:val="lv-LV" w:eastAsia="lv-LV"/>
        </w:rPr>
        <w:t xml:space="preserve"> panta pirmo daļu un 28.panta piekto daļu </w:t>
      </w:r>
    </w:p>
    <w:p>
      <w:pPr>
        <w:pStyle w:val="Normal"/>
        <w:spacing w:lineRule="auto" w:line="240" w:before="0" w:after="0"/>
        <w:contextualSpacing/>
        <w:jc w:val="both"/>
        <w:rPr>
          <w:rFonts w:ascii="Times New Roman" w:hAnsi="Times New Roman"/>
          <w:sz w:val="24"/>
          <w:szCs w:val="24"/>
          <w:lang w:val="lv-LV"/>
        </w:rPr>
      </w:pPr>
      <w:r>
        <w:rPr>
          <w:rFonts w:ascii="Times New Roman" w:hAnsi="Times New Roman"/>
          <w:sz w:val="24"/>
          <w:szCs w:val="24"/>
          <w:lang w:val="lv-LV"/>
        </w:rPr>
      </w:r>
    </w:p>
    <w:p>
      <w:pPr>
        <w:pStyle w:val="Normal"/>
        <w:widowControl/>
        <w:tabs>
          <w:tab w:val="clear" w:pos="720"/>
          <w:tab w:val="left" w:pos="4111" w:leader="none"/>
        </w:tabs>
        <w:spacing w:lineRule="auto" w:line="240" w:before="0" w:after="0"/>
        <w:jc w:val="both"/>
        <w:rPr>
          <w:rFonts w:ascii="Times New Roman" w:hAnsi="Times New Roman" w:eastAsia="Times New Roman"/>
          <w:b/>
          <w:b/>
          <w:sz w:val="24"/>
          <w:szCs w:val="24"/>
          <w:lang w:val="lv-LV" w:eastAsia="lv-LV"/>
        </w:rPr>
      </w:pPr>
      <w:r>
        <w:rPr>
          <w:rFonts w:ascii="Times New Roman" w:hAnsi="Times New Roman"/>
          <w:sz w:val="24"/>
          <w:szCs w:val="24"/>
          <w:lang w:val="lv-LV"/>
        </w:rPr>
        <w:tab/>
      </w:r>
      <w:r>
        <w:rPr>
          <w:rFonts w:eastAsia="Times New Roman" w:ascii="Times New Roman" w:hAnsi="Times New Roman"/>
          <w:b/>
          <w:sz w:val="24"/>
          <w:szCs w:val="24"/>
          <w:lang w:val="lv-LV" w:eastAsia="lv-LV"/>
        </w:rPr>
        <w:t>nolemj:</w:t>
      </w:r>
    </w:p>
    <w:p>
      <w:pPr>
        <w:pStyle w:val="Normal"/>
        <w:widowControl/>
        <w:spacing w:lineRule="auto" w:line="240" w:before="240" w:after="0"/>
        <w:jc w:val="both"/>
        <w:rPr>
          <w:rFonts w:ascii="Times New Roman" w:hAnsi="Times New Roman" w:eastAsia="Times New Roman"/>
          <w:sz w:val="24"/>
          <w:szCs w:val="24"/>
          <w:lang w:val="lv-LV" w:eastAsia="lv-LV"/>
        </w:rPr>
      </w:pPr>
      <w:r>
        <w:rPr>
          <w:rFonts w:eastAsia="Times New Roman" w:ascii="Times New Roman" w:hAnsi="Times New Roman"/>
          <w:sz w:val="24"/>
          <w:szCs w:val="24"/>
          <w:lang w:val="lv-LV" w:eastAsia="lv-LV"/>
        </w:rPr>
        <w:t xml:space="preserve">apmierināt Māra Augstkalna prasību. </w:t>
      </w:r>
    </w:p>
    <w:p>
      <w:pPr>
        <w:pStyle w:val="Normal"/>
        <w:widowControl/>
        <w:spacing w:lineRule="auto" w:line="240" w:before="0" w:after="0"/>
        <w:jc w:val="both"/>
        <w:rPr>
          <w:rFonts w:ascii="Times New Roman" w:hAnsi="Times New Roman" w:eastAsia="Times New Roman"/>
          <w:sz w:val="24"/>
          <w:szCs w:val="24"/>
          <w:lang w:val="lv-LV" w:eastAsia="lv-LV"/>
        </w:rPr>
      </w:pPr>
      <w:r>
        <w:rPr>
          <w:rFonts w:eastAsia="Times New Roman" w:ascii="Times New Roman" w:hAnsi="Times New Roman"/>
          <w:sz w:val="24"/>
          <w:szCs w:val="24"/>
          <w:lang w:val="lv-LV" w:eastAsia="lv-LV"/>
        </w:rPr>
        <w:t>SIA “ZEVA AUTO” atmaksāt Mārim Augstkalnam samaksāto naudas summu 6 090,00  EUR apmērā</w:t>
      </w:r>
    </w:p>
    <w:p>
      <w:pPr>
        <w:pStyle w:val="Normal"/>
        <w:widowControl/>
        <w:spacing w:lineRule="auto" w:line="240" w:before="240" w:after="0"/>
        <w:jc w:val="both"/>
        <w:rPr>
          <w:rFonts w:ascii="Times New Roman" w:hAnsi="Times New Roman" w:eastAsia="Times New Roman"/>
          <w:sz w:val="24"/>
          <w:szCs w:val="24"/>
          <w:lang w:val="lv-LV" w:eastAsia="lv-LV"/>
        </w:rPr>
      </w:pPr>
      <w:r>
        <w:rPr>
          <w:rFonts w:eastAsia="Times New Roman" w:ascii="Times New Roman" w:hAnsi="Times New Roman"/>
          <w:sz w:val="24"/>
          <w:szCs w:val="24"/>
          <w:lang w:val="lv-LV" w:eastAsia="lv-LV"/>
        </w:rPr>
        <w:t>Saskaņā ar PTAL 26.</w:t>
      </w:r>
      <w:r>
        <w:rPr>
          <w:rFonts w:eastAsia="Times New Roman" w:ascii="Times New Roman" w:hAnsi="Times New Roman"/>
          <w:sz w:val="24"/>
          <w:szCs w:val="24"/>
          <w:vertAlign w:val="superscript"/>
          <w:lang w:val="lv-LV" w:eastAsia="lv-LV"/>
        </w:rPr>
        <w:t>12</w:t>
      </w:r>
      <w:r>
        <w:rPr>
          <w:rFonts w:eastAsia="Times New Roman" w:ascii="Times New Roman" w:hAnsi="Times New Roman"/>
          <w:sz w:val="24"/>
          <w:szCs w:val="24"/>
          <w:lang w:val="lv-LV" w:eastAsia="lv-LV"/>
        </w:rPr>
        <w:t xml:space="preserve"> panta piekto daļu Komisijas lēmumam ir ieteikuma raksturs un tas nav apstrīdams vai pārsūdzams. </w:t>
      </w:r>
    </w:p>
    <w:p>
      <w:pPr>
        <w:pStyle w:val="Normal"/>
        <w:widowControl/>
        <w:spacing w:lineRule="auto" w:line="240" w:before="0" w:after="0"/>
        <w:jc w:val="both"/>
        <w:rPr>
          <w:rFonts w:ascii="Times New Roman" w:hAnsi="Times New Roman" w:eastAsia="Times New Roman"/>
          <w:sz w:val="24"/>
          <w:szCs w:val="24"/>
          <w:lang w:val="lv-LV"/>
        </w:rPr>
      </w:pPr>
      <w:r>
        <w:rPr>
          <w:rFonts w:eastAsia="Times New Roman" w:ascii="Times New Roman" w:hAnsi="Times New Roman"/>
          <w:sz w:val="24"/>
          <w:szCs w:val="24"/>
          <w:lang w:val="lv-LV" w:eastAsia="lv-LV"/>
        </w:rPr>
        <w:t>Saskaņā ar PTAL 26.</w:t>
      </w:r>
      <w:r>
        <w:rPr>
          <w:rFonts w:eastAsia="Times New Roman" w:ascii="Times New Roman" w:hAnsi="Times New Roman"/>
          <w:sz w:val="24"/>
          <w:szCs w:val="24"/>
          <w:vertAlign w:val="superscript"/>
          <w:lang w:val="lv-LV" w:eastAsia="lv-LV"/>
        </w:rPr>
        <w:t>12</w:t>
      </w:r>
      <w:r>
        <w:rPr>
          <w:rFonts w:eastAsia="Times New Roman" w:ascii="Times New Roman" w:hAnsi="Times New Roman"/>
          <w:sz w:val="24"/>
          <w:szCs w:val="24"/>
          <w:lang w:val="lv-LV" w:eastAsia="lv-LV"/>
        </w:rPr>
        <w:t xml:space="preserve"> panta septīto daļu Komisijas lēmums ir labprātīgi izpildāms 30 dienu laikā no tā spēkā stāšanās dienas.</w:t>
      </w:r>
    </w:p>
    <w:p>
      <w:pPr>
        <w:pStyle w:val="Normal"/>
        <w:widowControl/>
        <w:spacing w:lineRule="auto" w:line="240" w:before="240" w:after="240"/>
        <w:jc w:val="both"/>
        <w:rPr>
          <w:rFonts w:ascii="Times New Roman" w:hAnsi="Times New Roman"/>
          <w:b/>
          <w:b/>
          <w:i/>
          <w:i/>
          <w:spacing w:val="-4"/>
          <w:sz w:val="24"/>
          <w:szCs w:val="24"/>
          <w:lang w:val="lv-LV"/>
        </w:rPr>
      </w:pPr>
      <w:r>
        <w:rPr>
          <w:rFonts w:ascii="Times New Roman" w:hAnsi="Times New Roman"/>
          <w:b/>
          <w:i/>
          <w:spacing w:val="-4"/>
          <w:sz w:val="24"/>
          <w:szCs w:val="24"/>
          <w:lang w:val="lv-LV"/>
        </w:rPr>
        <w:t>Šis dokuments ir parakstīts ar drošu elektronisko parakstu un satur laika zīmogu.</w:t>
      </w:r>
    </w:p>
    <w:p>
      <w:pPr>
        <w:pStyle w:val="Normal"/>
        <w:widowControl/>
        <w:tabs>
          <w:tab w:val="clear" w:pos="720"/>
          <w:tab w:val="left" w:pos="6804" w:leader="none"/>
        </w:tabs>
        <w:spacing w:lineRule="auto" w:line="240" w:before="480" w:after="0"/>
        <w:jc w:val="both"/>
        <w:rPr>
          <w:rFonts w:ascii="Times New Roman" w:hAnsi="Times New Roman" w:eastAsia="Times New Roman"/>
          <w:sz w:val="24"/>
          <w:szCs w:val="24"/>
          <w:lang w:val="lv-LV" w:eastAsia="lv-LV"/>
        </w:rPr>
      </w:pPr>
      <w:bookmarkStart w:id="6" w:name="_Hlk69221613"/>
      <w:r>
        <w:rPr>
          <w:rFonts w:eastAsia="Times New Roman" w:ascii="Times New Roman" w:hAnsi="Times New Roman"/>
          <w:sz w:val="24"/>
          <w:szCs w:val="24"/>
          <w:lang w:val="lv-LV" w:eastAsia="lv-LV"/>
        </w:rPr>
        <w:t>Komisijas priekšsēdētāja</w:t>
        <w:tab/>
      </w:r>
      <w:bookmarkEnd w:id="6"/>
      <w:r>
        <w:rPr>
          <w:rFonts w:eastAsia="Times New Roman" w:ascii="Times New Roman" w:hAnsi="Times New Roman"/>
          <w:sz w:val="24"/>
          <w:szCs w:val="24"/>
          <w:lang w:val="lv-LV" w:eastAsia="lv-LV"/>
        </w:rPr>
        <w:t>A.Biksiniece</w:t>
      </w:r>
    </w:p>
    <w:sectPr>
      <w:headerReference w:type="default" r:id="rId2"/>
      <w:headerReference w:type="first" r:id="rId3"/>
      <w:footerReference w:type="default" r:id="rId4"/>
      <w:footerReference w:type="first" r:id="rId5"/>
      <w:type w:val="nextPage"/>
      <w:pgSz w:w="11906" w:h="16838"/>
      <w:pgMar w:left="1701" w:right="1134" w:header="709" w:top="1134" w:footer="709" w:bottom="1134" w:gutter="0"/>
      <w:pgNumType w:fmt="decimal"/>
      <w:formProt w:val="false"/>
      <w:titlePg/>
      <w:textDirection w:val="lrTb"/>
      <w:docGrid w:type="default" w:linePitch="299"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Verdana">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277327145"/>
    </w:sdtPr>
    <w:sdtContent>
      <w:p>
        <w:pPr>
          <w:pStyle w:val="Footer"/>
          <w:jc w:val="center"/>
          <w:rPr/>
        </w:pPr>
        <w:r>
          <w:rPr/>
          <w:fldChar w:fldCharType="begin"/>
        </w:r>
        <w:r>
          <w:rPr/>
          <w:instrText> PAGE </w:instrText>
        </w:r>
        <w:r>
          <w:rPr/>
          <w:fldChar w:fldCharType="separate"/>
        </w:r>
        <w:r>
          <w:rPr/>
          <w:t>3</w:t>
        </w:r>
        <w:r>
          <w:rPr/>
          <w:fldChar w:fldCharType="end"/>
        </w:r>
      </w:p>
    </w:sdtContent>
  </w:sdt>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both"/>
      <w:rPr>
        <w:rFonts w:ascii="Times New Roman" w:hAnsi="Times New Roman"/>
        <w:sz w:val="24"/>
        <w:szCs w:val="24"/>
      </w:rPr>
    </w:pPr>
    <w:r>
      <w:rPr>
        <w:rFonts w:ascii="Times New Roman" w:hAnsi="Times New Roman"/>
        <w:sz w:val="24"/>
        <w:szCs w:val="24"/>
      </w:rPr>
    </w:r>
  </w:p>
  <w:p>
    <w:pPr>
      <w:pStyle w:val="Header"/>
      <w:jc w:val="both"/>
      <w:rPr>
        <w:rFonts w:ascii="Times New Roman" w:hAnsi="Times New Roman"/>
        <w:sz w:val="24"/>
        <w:szCs w:val="24"/>
      </w:rPr>
    </w:pPr>
    <w:r>
      <w:rPr>
        <w:rFonts w:ascii="Times New Roman" w:hAnsi="Times New Roman"/>
        <w:sz w:val="24"/>
        <w:szCs w:val="24"/>
      </w:rPr>
    </w:r>
  </w:p>
  <w:p>
    <w:pPr>
      <w:pStyle w:val="Header"/>
      <w:jc w:val="both"/>
      <w:rPr>
        <w:rFonts w:ascii="Times New Roman" w:hAnsi="Times New Roman"/>
        <w:sz w:val="24"/>
        <w:szCs w:val="24"/>
      </w:rPr>
    </w:pPr>
    <w:r>
      <w:rPr>
        <w:rFonts w:ascii="Times New Roman" w:hAnsi="Times New Roman"/>
        <w:sz w:val="24"/>
        <w:szCs w:val="24"/>
      </w:rPr>
    </w:r>
  </w:p>
  <w:p>
    <w:pPr>
      <w:pStyle w:val="Header"/>
      <w:jc w:val="both"/>
      <w:rPr>
        <w:rFonts w:ascii="Times New Roman" w:hAnsi="Times New Roman"/>
        <w:sz w:val="24"/>
        <w:szCs w:val="24"/>
      </w:rPr>
    </w:pPr>
    <w:r>
      <w:rPr>
        <w:rFonts w:ascii="Times New Roman" w:hAnsi="Times New Roman"/>
        <w:sz w:val="24"/>
        <w:szCs w:val="24"/>
      </w:rPr>
    </w:r>
  </w:p>
  <w:p>
    <w:pPr>
      <w:pStyle w:val="Normal"/>
      <w:tabs>
        <w:tab w:val="clear" w:pos="720"/>
        <w:tab w:val="center" w:pos="4320" w:leader="none"/>
        <w:tab w:val="right" w:pos="8640" w:leader="none"/>
      </w:tabs>
      <w:spacing w:lineRule="auto" w:line="240" w:before="0" w:after="0"/>
      <w:jc w:val="center"/>
      <w:rPr>
        <w:rFonts w:ascii="Times New Roman" w:hAnsi="Times New Roman"/>
        <w:sz w:val="32"/>
        <w:szCs w:val="32"/>
      </w:rPr>
    </w:pPr>
    <w:r>
      <mc:AlternateContent>
        <mc:Choice Requires="wps">
          <w:drawing>
            <wp:anchor behindDoc="1" distT="0" distB="0" distL="0" distR="0" simplePos="0" locked="0" layoutInCell="0" allowOverlap="1" relativeHeight="2" wp14:anchorId="67D304D0">
              <wp:simplePos x="0" y="0"/>
              <wp:positionH relativeFrom="column">
                <wp:posOffset>489585</wp:posOffset>
              </wp:positionH>
              <wp:positionV relativeFrom="paragraph">
                <wp:posOffset>218440</wp:posOffset>
              </wp:positionV>
              <wp:extent cx="5144135" cy="19685"/>
              <wp:effectExtent l="0" t="38100" r="57150" b="76200"/>
              <wp:wrapNone/>
              <wp:docPr id="1" name="Straight Connector 7"/>
              <a:graphic xmlns:a="http://schemas.openxmlformats.org/drawingml/2006/main">
                <a:graphicData uri="http://schemas.microsoft.com/office/word/2010/wordprocessingShape">
                  <wps:wsp>
                    <wps:cNvSpPr/>
                    <wps:spPr>
                      <a:xfrm flipV="1">
                        <a:off x="0" y="0"/>
                        <a:ext cx="5143680" cy="19080"/>
                      </a:xfrm>
                      <a:prstGeom prst="line">
                        <a:avLst/>
                      </a:prstGeom>
                      <a:ln w="12700">
                        <a:solidFill>
                          <a:srgbClr val="000000"/>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38.55pt,17.2pt" to="443.5pt,18.65pt" ID="Straight Connector 7" stroked="t" style="position:absolute;flip:y" wp14:anchorId="67D304D0">
              <v:stroke color="black" weight="12600" joinstyle="miter" endcap="flat"/>
              <v:fill o:detectmouseclick="t" on="false"/>
              <v:shadow on="t" obscured="f" color="black"/>
              <w10:wrap type="none"/>
            </v:line>
          </w:pict>
        </mc:Fallback>
      </mc:AlternateContent>
    </w:r>
    <w:r>
      <w:rPr>
        <w:rFonts w:ascii="Times New Roman" w:hAnsi="Times New Roman"/>
        <w:sz w:val="32"/>
        <w:szCs w:val="32"/>
      </w:rPr>
      <w:t>PATĒRĒTĀJU STRĪDU RISINĀŠANAS KOMISIJA</w:t>
    </w:r>
  </w:p>
  <w:p>
    <w:pPr>
      <w:pStyle w:val="Normal"/>
      <w:spacing w:lineRule="auto" w:line="240" w:before="120" w:after="0"/>
      <w:ind w:left="23" w:right="-45" w:hanging="0"/>
      <w:jc w:val="center"/>
      <w:rPr>
        <w:rFonts w:ascii="Times New Roman" w:hAnsi="Times New Roman" w:eastAsia="Times New Roman"/>
        <w:sz w:val="17"/>
        <w:szCs w:val="17"/>
      </w:rPr>
    </w:pPr>
    <w:r>
      <w:rPr>
        <w:rFonts w:eastAsia="Times New Roman" w:ascii="Times New Roman" w:hAnsi="Times New Roman"/>
        <w:color w:val="231F20"/>
        <w:sz w:val="17"/>
        <w:szCs w:val="17"/>
      </w:rPr>
      <w:t>Brīvības iela 55, Rīga, LV-1010, tālr. 67388624, fakss 67388634, e-pasts pasts@ptac.gov.lv, www.ptac.gov.lv</w:t>
    </w:r>
  </w:p>
  <w:p>
    <w:pPr>
      <w:pStyle w:val="Header"/>
      <w:jc w:val="both"/>
      <w:rPr>
        <w:rFonts w:ascii="Times New Roman" w:hAnsi="Times New Roman"/>
        <w:sz w:val="24"/>
        <w:szCs w:val="24"/>
      </w:rPr>
    </w:pPr>
    <w:r>
      <w:rPr>
        <w:rFonts w:ascii="Times New Roman" w:hAnsi="Times New Roman"/>
        <w:sz w:val="24"/>
        <w:szCs w:val="24"/>
      </w:rPr>
    </w:r>
  </w:p>
  <w:p>
    <w:pPr>
      <w:pStyle w:val="Header"/>
      <w:jc w:val="both"/>
      <w:rPr>
        <w:rFonts w:ascii="Times New Roman" w:hAnsi="Times New Roman"/>
        <w:sz w:val="24"/>
        <w:szCs w:val="24"/>
      </w:rPr>
    </w:pPr>
    <w:r>
      <w:rPr>
        <w:rFonts w:ascii="Times New Roman" w:hAnsi="Times New Roman"/>
        <w:sz w:val="24"/>
        <w:szCs w:val="24"/>
      </w:rPr>
    </w:r>
  </w:p>
</w:hdr>
</file>

<file path=word/settings.xml><?xml version="1.0" encoding="utf-8"?>
<w:settings xmlns:w="http://schemas.openxmlformats.org/wordprocessingml/2006/main">
  <w:zoom w:percent="100"/>
  <w:mirrorMargi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lv-LV"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lv-LV" w:eastAsia="lv-LV"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3102b"/>
    <w:pPr>
      <w:widowControl w:val="false"/>
      <w:bidi w:val="0"/>
      <w:spacing w:lineRule="auto" w:line="276" w:before="0" w:after="200"/>
      <w:jc w:val="left"/>
    </w:pPr>
    <w:rPr>
      <w:rFonts w:ascii="Calibri" w:hAnsi="Calibri" w:eastAsia="Calibri" w:cs="Times New Roman"/>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815277"/>
    <w:rPr/>
  </w:style>
  <w:style w:type="character" w:styleId="FooterChar" w:customStyle="1">
    <w:name w:val="Footer Char"/>
    <w:basedOn w:val="DefaultParagraphFont"/>
    <w:link w:val="Footer"/>
    <w:uiPriority w:val="99"/>
    <w:qFormat/>
    <w:rsid w:val="00815277"/>
    <w:rPr/>
  </w:style>
  <w:style w:type="character" w:styleId="Body1" w:customStyle="1">
    <w:name w:val="body1"/>
    <w:qFormat/>
    <w:rsid w:val="00d21fa6"/>
    <w:rPr>
      <w:rFonts w:ascii="Verdana" w:hAnsi="Verdana"/>
      <w:color w:val="000000"/>
      <w:sz w:val="14"/>
      <w:szCs w:val="14"/>
    </w:rPr>
  </w:style>
  <w:style w:type="character" w:styleId="InternetLink">
    <w:name w:val="Hyperlink"/>
    <w:uiPriority w:val="99"/>
    <w:unhideWhenUsed/>
    <w:rsid w:val="00d21fa6"/>
    <w:rPr>
      <w:color w:val="0000FF"/>
      <w:u w:val="single"/>
    </w:rPr>
  </w:style>
  <w:style w:type="character" w:styleId="PlainTextChar" w:customStyle="1">
    <w:name w:val="Plain Text Char"/>
    <w:link w:val="PlainText"/>
    <w:uiPriority w:val="99"/>
    <w:semiHidden/>
    <w:qFormat/>
    <w:rsid w:val="00d21fa6"/>
    <w:rPr>
      <w:rFonts w:ascii="Calibri" w:hAnsi="Calibri" w:eastAsia="Calibri" w:cs="Times New Roman"/>
      <w:szCs w:val="21"/>
      <w:lang w:val="lv-LV"/>
    </w:rPr>
  </w:style>
  <w:style w:type="character" w:styleId="BalloonTextChar" w:customStyle="1">
    <w:name w:val="Balloon Text Char"/>
    <w:link w:val="BalloonText"/>
    <w:uiPriority w:val="99"/>
    <w:semiHidden/>
    <w:qFormat/>
    <w:rsid w:val="00030349"/>
    <w:rPr>
      <w:rFonts w:ascii="Tahoma" w:hAnsi="Tahoma" w:cs="Tahoma"/>
      <w:sz w:val="16"/>
      <w:szCs w:val="16"/>
    </w:rPr>
  </w:style>
  <w:style w:type="character" w:styleId="Annotationreference">
    <w:name w:val="annotation reference"/>
    <w:basedOn w:val="DefaultParagraphFont"/>
    <w:uiPriority w:val="99"/>
    <w:semiHidden/>
    <w:unhideWhenUsed/>
    <w:qFormat/>
    <w:rsid w:val="00d04cc5"/>
    <w:rPr>
      <w:sz w:val="16"/>
      <w:szCs w:val="16"/>
    </w:rPr>
  </w:style>
  <w:style w:type="character" w:styleId="CommentTextChar" w:customStyle="1">
    <w:name w:val="Comment Text Char"/>
    <w:basedOn w:val="DefaultParagraphFont"/>
    <w:link w:val="CommentText"/>
    <w:uiPriority w:val="99"/>
    <w:qFormat/>
    <w:rsid w:val="00d04cc5"/>
    <w:rPr>
      <w:lang w:val="en-US" w:eastAsia="en-US"/>
    </w:rPr>
  </w:style>
  <w:style w:type="character" w:styleId="CommentSubjectChar" w:customStyle="1">
    <w:name w:val="Comment Subject Char"/>
    <w:basedOn w:val="CommentTextChar"/>
    <w:link w:val="CommentSubject"/>
    <w:uiPriority w:val="99"/>
    <w:semiHidden/>
    <w:qFormat/>
    <w:rsid w:val="00d04cc5"/>
    <w:rPr>
      <w:b/>
      <w:bCs/>
      <w:lang w:val="en-US" w:eastAsia="en-US"/>
    </w:rPr>
  </w:style>
  <w:style w:type="character" w:styleId="Multiline" w:customStyle="1">
    <w:name w:val="multiline"/>
    <w:qFormat/>
    <w:rsid w:val="000759ce"/>
    <w:rPr/>
  </w:style>
  <w:style w:type="character" w:styleId="UnresolvedMention1" w:customStyle="1">
    <w:name w:val="Unresolved Mention1"/>
    <w:basedOn w:val="DefaultParagraphFont"/>
    <w:uiPriority w:val="99"/>
    <w:semiHidden/>
    <w:unhideWhenUsed/>
    <w:qFormat/>
    <w:rsid w:val="00af2dd3"/>
    <w:rPr>
      <w:color w:val="605E5C"/>
      <w:shd w:fill="E1DFDD" w:val="clear"/>
    </w:rPr>
  </w:style>
  <w:style w:type="character" w:styleId="UnresolvedMention2" w:customStyle="1">
    <w:name w:val="Unresolved Mention2"/>
    <w:basedOn w:val="DefaultParagraphFont"/>
    <w:uiPriority w:val="99"/>
    <w:semiHidden/>
    <w:unhideWhenUsed/>
    <w:qFormat/>
    <w:rsid w:val="008265c0"/>
    <w:rPr>
      <w:color w:val="605E5C"/>
      <w:shd w:fill="E1DFDD" w:val="clear"/>
    </w:rPr>
  </w:style>
  <w:style w:type="character" w:styleId="UnresolvedMention">
    <w:name w:val="Unresolved Mention"/>
    <w:basedOn w:val="DefaultParagraphFont"/>
    <w:uiPriority w:val="99"/>
    <w:semiHidden/>
    <w:unhideWhenUsed/>
    <w:qFormat/>
    <w:rsid w:val="00756294"/>
    <w:rPr>
      <w:color w:val="605E5C"/>
      <w:shd w:fill="E1DFDD" w:val="clear"/>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rPr/>
  </w:style>
  <w:style w:type="paragraph" w:styleId="Header">
    <w:name w:val="Header"/>
    <w:basedOn w:val="Normal"/>
    <w:link w:val="HeaderChar"/>
    <w:uiPriority w:val="99"/>
    <w:unhideWhenUsed/>
    <w:rsid w:val="00815277"/>
    <w:pPr>
      <w:tabs>
        <w:tab w:val="clear" w:pos="720"/>
        <w:tab w:val="center" w:pos="4320" w:leader="none"/>
        <w:tab w:val="right" w:pos="8640" w:leader="none"/>
      </w:tabs>
      <w:spacing w:lineRule="auto" w:line="240" w:before="0" w:after="0"/>
    </w:pPr>
    <w:rPr/>
  </w:style>
  <w:style w:type="paragraph" w:styleId="Footer">
    <w:name w:val="Footer"/>
    <w:basedOn w:val="Normal"/>
    <w:link w:val="FooterChar"/>
    <w:uiPriority w:val="99"/>
    <w:unhideWhenUsed/>
    <w:rsid w:val="00815277"/>
    <w:pPr>
      <w:tabs>
        <w:tab w:val="clear" w:pos="720"/>
        <w:tab w:val="center" w:pos="4320" w:leader="none"/>
        <w:tab w:val="right" w:pos="8640" w:leader="none"/>
      </w:tabs>
      <w:spacing w:lineRule="auto" w:line="240" w:before="0" w:after="0"/>
    </w:pPr>
    <w:rPr/>
  </w:style>
  <w:style w:type="paragraph" w:styleId="PlainText">
    <w:name w:val="Plain Text"/>
    <w:basedOn w:val="Normal"/>
    <w:link w:val="PlainTextChar"/>
    <w:uiPriority w:val="99"/>
    <w:semiHidden/>
    <w:unhideWhenUsed/>
    <w:qFormat/>
    <w:rsid w:val="00d21fa6"/>
    <w:pPr>
      <w:widowControl/>
      <w:spacing w:lineRule="auto" w:line="240" w:before="0" w:after="0"/>
    </w:pPr>
    <w:rPr>
      <w:szCs w:val="21"/>
      <w:lang w:val="lv-LV"/>
    </w:rPr>
  </w:style>
  <w:style w:type="paragraph" w:styleId="BalloonText">
    <w:name w:val="Balloon Text"/>
    <w:basedOn w:val="Normal"/>
    <w:link w:val="BalloonTextChar"/>
    <w:uiPriority w:val="99"/>
    <w:semiHidden/>
    <w:unhideWhenUsed/>
    <w:qFormat/>
    <w:rsid w:val="00030349"/>
    <w:pPr>
      <w:spacing w:lineRule="auto" w:line="240" w:before="0" w:after="0"/>
    </w:pPr>
    <w:rPr>
      <w:rFonts w:ascii="Tahoma" w:hAnsi="Tahoma" w:cs="Tahoma"/>
      <w:sz w:val="16"/>
      <w:szCs w:val="16"/>
    </w:rPr>
  </w:style>
  <w:style w:type="paragraph" w:styleId="Annotationtext">
    <w:name w:val="annotation text"/>
    <w:basedOn w:val="Normal"/>
    <w:link w:val="CommentTextChar"/>
    <w:uiPriority w:val="99"/>
    <w:unhideWhenUsed/>
    <w:qFormat/>
    <w:rsid w:val="00d04cc5"/>
    <w:pPr>
      <w:spacing w:lineRule="auto" w:line="240"/>
    </w:pPr>
    <w:rPr>
      <w:sz w:val="20"/>
      <w:szCs w:val="20"/>
    </w:rPr>
  </w:style>
  <w:style w:type="paragraph" w:styleId="Annotationsubject">
    <w:name w:val="annotation subject"/>
    <w:basedOn w:val="Annotationtext"/>
    <w:next w:val="Annotationtext"/>
    <w:link w:val="CommentSubjectChar"/>
    <w:uiPriority w:val="99"/>
    <w:semiHidden/>
    <w:unhideWhenUsed/>
    <w:qFormat/>
    <w:rsid w:val="00d04cc5"/>
    <w:pPr/>
    <w:rPr>
      <w:b/>
      <w:bCs/>
    </w:rPr>
  </w:style>
  <w:style w:type="paragraph" w:styleId="ListParagraph">
    <w:name w:val="List Paragraph"/>
    <w:basedOn w:val="Normal"/>
    <w:uiPriority w:val="34"/>
    <w:qFormat/>
    <w:rsid w:val="00dc5ab4"/>
    <w:pPr>
      <w:spacing w:before="0" w:after="200"/>
      <w:ind w:left="720" w:hanging="0"/>
      <w:contextualSpacing/>
    </w:pPr>
    <w:rPr/>
  </w:style>
  <w:style w:type="paragraph" w:styleId="Tv213" w:customStyle="1">
    <w:name w:val="tv213"/>
    <w:basedOn w:val="Normal"/>
    <w:qFormat/>
    <w:rsid w:val="00e63825"/>
    <w:pPr>
      <w:widowControl/>
      <w:spacing w:lineRule="auto" w:line="240" w:beforeAutospacing="1" w:afterAutospacing="1"/>
    </w:pPr>
    <w:rPr>
      <w:rFonts w:ascii="Times New Roman" w:hAnsi="Times New Roman" w:eastAsia="Times New Roman"/>
      <w:sz w:val="24"/>
      <w:szCs w:val="24"/>
      <w:lang w:val="lv-LV" w:eastAsia="lv-LV"/>
    </w:rPr>
  </w:style>
  <w:style w:type="paragraph" w:styleId="Revision">
    <w:name w:val="Revision"/>
    <w:uiPriority w:val="99"/>
    <w:semiHidden/>
    <w:qFormat/>
    <w:rsid w:val="003d5e25"/>
    <w:pPr>
      <w:widowControl/>
      <w:bidi w:val="0"/>
      <w:spacing w:before="0" w:after="0"/>
      <w:jc w:val="left"/>
    </w:pPr>
    <w:rPr>
      <w:rFonts w:ascii="Calibri" w:hAnsi="Calibri" w:eastAsia="Calibri" w:cs="Times New Roman"/>
      <w:color w:val="auto"/>
      <w:kern w:val="0"/>
      <w:sz w:val="22"/>
      <w:szCs w:val="22"/>
      <w:lang w:val="en-US"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55D6C-A569-4929-A7D8-4D28ED2DE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Application>LibreOffice/7.1.1.2$Windows_X86_64 LibreOffice_project/fe0b08f4af1bacafe4c7ecc87ce55bb426164676</Application>
  <AppVersion>15.0000</AppVersion>
  <Pages>2</Pages>
  <Words>1355</Words>
  <Characters>9189</Characters>
  <CharactersWithSpaces>10543</CharactersWithSpaces>
  <Paragraphs>34</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2025-08-28T06:32:00Z</dcterms:created>
  <dc:creator>Arnita Lūse-Grīnberga</dc:creator>
  <dc:description/>
  <dc:language>lv-LV</dc:language>
  <cp:lastModifiedBy>Laura Kaimiņa</cp:lastModifiedBy>
  <cp:lastPrinted>2020-02-10T07:54:00Z</cp:lastPrinted>
  <dcterms:modified xsi:type="dcterms:W3CDTF">2025-08-28T06:50:00Z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