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09F7" w14:textId="426F9EE3" w:rsidR="000979D1" w:rsidRDefault="00826389" w:rsidP="000979D1">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7FBF95B1" w14:textId="77777777" w:rsidR="000979D1" w:rsidRPr="000979D1" w:rsidRDefault="000979D1" w:rsidP="000979D1">
      <w:pPr>
        <w:widowControl/>
        <w:spacing w:after="0" w:line="300" w:lineRule="atLeast"/>
        <w:ind w:left="5103"/>
        <w:rPr>
          <w:rFonts w:ascii="Times New Roman" w:eastAsia="Times New Roman" w:hAnsi="Times New Roman"/>
          <w:b/>
          <w:bCs/>
          <w:sz w:val="24"/>
          <w:szCs w:val="24"/>
          <w:lang w:val="lv-LV" w:eastAsia="lv-LV"/>
        </w:rPr>
      </w:pPr>
    </w:p>
    <w:p w14:paraId="0D3F2618" w14:textId="0BDEB8A5" w:rsidR="000979D1" w:rsidRPr="000979D1" w:rsidRDefault="00826389" w:rsidP="000979D1">
      <w:pPr>
        <w:widowControl/>
        <w:spacing w:after="0" w:line="300" w:lineRule="atLeast"/>
        <w:ind w:left="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r w:rsidR="000979D1"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6E3727AB"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A61AE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gada 19.</w:t>
      </w:r>
      <w:r w:rsidR="00A61AE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2026/10</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216F83">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7777777" w:rsidR="000979D1" w:rsidRDefault="000979D1" w:rsidP="00216F83">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Liene Neimane, </w:t>
      </w:r>
    </w:p>
    <w:p w14:paraId="5CC3B1FB" w14:textId="5985392D" w:rsidR="000979D1" w:rsidRDefault="000979D1" w:rsidP="00216F83">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locekļi Andrejs Vanags kā patērētāju interešu pārstāvis un Anna Saltikova kā komersantu interešu pārstāve, izskatīja rakstveida procesā strīdu starp patērētāj</w:t>
      </w:r>
      <w:r w:rsidR="00826389">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un sabiedrīb</w:t>
      </w:r>
      <w:r w:rsidR="00826389">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saistībā </w:t>
      </w:r>
      <w:r>
        <w:rPr>
          <w:rFonts w:ascii="Times New Roman" w:eastAsia="Times New Roman" w:hAnsi="Times New Roman"/>
          <w:sz w:val="24"/>
          <w:szCs w:val="24"/>
          <w:lang w:val="lv-LV" w:eastAsia="lv-LV"/>
        </w:rPr>
        <w:t>neatbilstošu garāžas bedres metāla konstrukcijas izgatavošanu.</w:t>
      </w:r>
    </w:p>
    <w:p w14:paraId="5C89E33D" w14:textId="27C26EE2" w:rsidR="006604F8" w:rsidRDefault="006604F8" w:rsidP="006604F8">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6604F8">
        <w:rPr>
          <w:rFonts w:ascii="Times New Roman" w:eastAsia="Times New Roman" w:hAnsi="Times New Roman"/>
          <w:sz w:val="24"/>
          <w:szCs w:val="24"/>
          <w:lang w:val="lv-LV" w:eastAsia="lv-LV"/>
        </w:rPr>
        <w:t xml:space="preserve">No lietas materiāliem izriet, ka patērētāja 2024. gada 7. augustā pasūtīja sabiedrībai garāžas bedres metāla konstrukcijas izgatavošanu, samaksājot </w:t>
      </w:r>
      <w:r>
        <w:rPr>
          <w:rFonts w:ascii="Times New Roman" w:eastAsia="Times New Roman" w:hAnsi="Times New Roman"/>
          <w:sz w:val="24"/>
          <w:szCs w:val="24"/>
          <w:lang w:val="lv-LV" w:eastAsia="lv-LV"/>
        </w:rPr>
        <w:t>1</w:t>
      </w:r>
      <w:r w:rsidRPr="006604F8">
        <w:rPr>
          <w:rFonts w:ascii="Times New Roman" w:eastAsia="Times New Roman" w:hAnsi="Times New Roman"/>
          <w:sz w:val="24"/>
          <w:szCs w:val="24"/>
          <w:lang w:val="lv-LV" w:eastAsia="lv-LV"/>
        </w:rPr>
        <w:t>400,45 EUR. Darbi tika pabeigti 2024. gada 13. augustā, un patērētāja tos pieņēma bez iebildumiem.</w:t>
      </w:r>
      <w:r>
        <w:rPr>
          <w:rFonts w:ascii="Times New Roman" w:eastAsia="Times New Roman" w:hAnsi="Times New Roman"/>
          <w:sz w:val="24"/>
          <w:szCs w:val="24"/>
          <w:lang w:val="lv-LV" w:eastAsia="lv-LV"/>
        </w:rPr>
        <w:t xml:space="preserve"> 2025. </w:t>
      </w:r>
      <w:r w:rsidRPr="006604F8">
        <w:rPr>
          <w:rFonts w:ascii="Times New Roman" w:eastAsia="Times New Roman" w:hAnsi="Times New Roman"/>
          <w:sz w:val="24"/>
          <w:szCs w:val="24"/>
          <w:lang w:val="lv-LV" w:eastAsia="lv-LV"/>
        </w:rPr>
        <w:t>gada maijā patērētāja konstatēja rūsas plankumus uz konstrukcijas virsmas un vērsās sabiedrībā, k</w:t>
      </w:r>
      <w:r>
        <w:rPr>
          <w:rFonts w:ascii="Times New Roman" w:eastAsia="Times New Roman" w:hAnsi="Times New Roman"/>
          <w:sz w:val="24"/>
          <w:szCs w:val="24"/>
          <w:lang w:val="lv-LV" w:eastAsia="lv-LV"/>
        </w:rPr>
        <w:t>as</w:t>
      </w:r>
      <w:r w:rsidRPr="006604F8">
        <w:rPr>
          <w:rFonts w:ascii="Times New Roman" w:eastAsia="Times New Roman" w:hAnsi="Times New Roman"/>
          <w:sz w:val="24"/>
          <w:szCs w:val="24"/>
          <w:lang w:val="lv-LV" w:eastAsia="lv-LV"/>
        </w:rPr>
        <w:t xml:space="preserve"> veica objekta apskati. 2025. gada jūlijā patērētāja atkārtoti konstatēja rūsu</w:t>
      </w:r>
      <w:r>
        <w:rPr>
          <w:rFonts w:ascii="Times New Roman" w:eastAsia="Times New Roman" w:hAnsi="Times New Roman"/>
          <w:sz w:val="24"/>
          <w:szCs w:val="24"/>
          <w:lang w:val="lv-LV" w:eastAsia="lv-LV"/>
        </w:rPr>
        <w:t xml:space="preserve"> un</w:t>
      </w:r>
      <w:r w:rsidRPr="006604F8">
        <w:rPr>
          <w:rFonts w:ascii="Times New Roman" w:eastAsia="Times New Roman" w:hAnsi="Times New Roman"/>
          <w:sz w:val="24"/>
          <w:szCs w:val="24"/>
          <w:lang w:val="lv-LV" w:eastAsia="lv-LV"/>
        </w:rPr>
        <w:t xml:space="preserve"> ūdens uzkrāšanos bedrē, un vērsās sabiedrībā ar prasību garantijas ietvaros novērst neatbilstību vai atmaksāt samaksāto summu. Sabiedrība prasību noraidīja, norādot, ka neatbilstība radusies ekspluatācijas apstākļu vai neatbilstoši izvēlētas krāsas dēļ.</w:t>
      </w:r>
      <w:r>
        <w:rPr>
          <w:rFonts w:ascii="Times New Roman" w:eastAsia="Times New Roman" w:hAnsi="Times New Roman"/>
          <w:sz w:val="24"/>
          <w:szCs w:val="24"/>
          <w:lang w:val="lv-LV" w:eastAsia="lv-LV"/>
        </w:rPr>
        <w:t xml:space="preserve"> </w:t>
      </w:r>
      <w:r w:rsidRPr="006604F8">
        <w:rPr>
          <w:rFonts w:ascii="Times New Roman" w:eastAsia="Times New Roman" w:hAnsi="Times New Roman"/>
          <w:sz w:val="24"/>
          <w:szCs w:val="24"/>
          <w:lang w:val="lv-LV" w:eastAsia="lv-LV"/>
        </w:rPr>
        <w:t xml:space="preserve">Patērētāja lūdz Komisiju </w:t>
      </w:r>
      <w:r>
        <w:rPr>
          <w:rFonts w:ascii="Times New Roman" w:eastAsia="Times New Roman" w:hAnsi="Times New Roman"/>
          <w:sz w:val="24"/>
          <w:szCs w:val="24"/>
          <w:lang w:val="lv-LV" w:eastAsia="lv-LV"/>
        </w:rPr>
        <w:t>atmaksāt</w:t>
      </w:r>
      <w:r w:rsidRPr="006604F8">
        <w:rPr>
          <w:rFonts w:ascii="Times New Roman" w:eastAsia="Times New Roman" w:hAnsi="Times New Roman"/>
          <w:sz w:val="24"/>
          <w:szCs w:val="24"/>
          <w:lang w:val="lv-LV" w:eastAsia="lv-LV"/>
        </w:rPr>
        <w:t xml:space="preserve"> samaksāto summu 1400,45 EUR.</w:t>
      </w:r>
    </w:p>
    <w:p w14:paraId="08EF3E20" w14:textId="777F0E7F" w:rsidR="006604F8" w:rsidRDefault="006604F8" w:rsidP="006604F8">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6604F8">
        <w:rPr>
          <w:rFonts w:ascii="Times New Roman" w:eastAsia="Times New Roman" w:hAnsi="Times New Roman"/>
          <w:sz w:val="24"/>
          <w:szCs w:val="24"/>
          <w:lang w:val="lv-LV" w:eastAsia="lv-LV"/>
        </w:rPr>
        <w:t xml:space="preserve">Sabiedrība lietā </w:t>
      </w:r>
      <w:r>
        <w:rPr>
          <w:rFonts w:ascii="Times New Roman" w:eastAsia="Times New Roman" w:hAnsi="Times New Roman"/>
          <w:sz w:val="24"/>
          <w:szCs w:val="24"/>
          <w:lang w:val="lv-LV" w:eastAsia="lv-LV"/>
        </w:rPr>
        <w:t xml:space="preserve">ir </w:t>
      </w:r>
      <w:r w:rsidRPr="006604F8">
        <w:rPr>
          <w:rFonts w:ascii="Times New Roman" w:eastAsia="Times New Roman" w:hAnsi="Times New Roman"/>
          <w:sz w:val="24"/>
          <w:szCs w:val="24"/>
          <w:lang w:val="lv-LV" w:eastAsia="lv-LV"/>
        </w:rPr>
        <w:t xml:space="preserve">sniegusi </w:t>
      </w:r>
      <w:r>
        <w:rPr>
          <w:rFonts w:ascii="Times New Roman" w:eastAsia="Times New Roman" w:hAnsi="Times New Roman"/>
          <w:sz w:val="24"/>
          <w:szCs w:val="24"/>
          <w:lang w:val="lv-LV" w:eastAsia="lv-LV"/>
        </w:rPr>
        <w:t>s</w:t>
      </w:r>
      <w:r w:rsidRPr="006604F8">
        <w:rPr>
          <w:rFonts w:ascii="Times New Roman" w:eastAsia="Times New Roman" w:hAnsi="Times New Roman"/>
          <w:sz w:val="24"/>
          <w:szCs w:val="24"/>
          <w:lang w:val="lv-LV" w:eastAsia="lv-LV"/>
        </w:rPr>
        <w:t>kaidrojumu, norādot, ka metināšanas šuves ir kvalitatīvas, konstrukcija izgatavota profesionāli, bet konstatētā neatbilstība radusies paaugstināta mitruma, kondensāta, kā arī patērētājas veiktās krāsošanas dēļ.</w:t>
      </w:r>
      <w:r>
        <w:rPr>
          <w:rFonts w:ascii="Times New Roman" w:eastAsia="Times New Roman" w:hAnsi="Times New Roman"/>
          <w:sz w:val="24"/>
          <w:szCs w:val="24"/>
          <w:lang w:val="lv-LV" w:eastAsia="lv-LV"/>
        </w:rPr>
        <w:t xml:space="preserve"> </w:t>
      </w:r>
      <w:r w:rsidRPr="006604F8">
        <w:rPr>
          <w:rFonts w:ascii="Times New Roman" w:eastAsia="Times New Roman" w:hAnsi="Times New Roman"/>
          <w:sz w:val="24"/>
          <w:szCs w:val="24"/>
          <w:lang w:val="lv-LV" w:eastAsia="lv-LV"/>
        </w:rPr>
        <w:t>Sabiedrība uzskata, ka pakalpojums ir izpildīts kvalitatīvi, un patērētājas prasību par naudas atmaksu noraida.</w:t>
      </w:r>
    </w:p>
    <w:p w14:paraId="4CA82FF7" w14:textId="240BE577" w:rsidR="006604F8" w:rsidRPr="006604F8" w:rsidRDefault="006604F8" w:rsidP="006604F8">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6604F8">
        <w:rPr>
          <w:rFonts w:ascii="Times New Roman" w:eastAsia="Times New Roman" w:hAnsi="Times New Roman"/>
          <w:sz w:val="24"/>
          <w:szCs w:val="24"/>
          <w:lang w:val="lv-LV" w:eastAsia="lv-LV"/>
        </w:rPr>
        <w:t xml:space="preserve">Komisija, izvērtējot lietā konstatētos apstākļus, secina, ka patērētāja ar sabiedrību bija vienojusies par metāla konstrukcijas izgatavošanu, bet nebija </w:t>
      </w:r>
      <w:r>
        <w:rPr>
          <w:rFonts w:ascii="Times New Roman" w:eastAsia="Times New Roman" w:hAnsi="Times New Roman"/>
          <w:sz w:val="24"/>
          <w:szCs w:val="24"/>
          <w:lang w:val="lv-LV" w:eastAsia="lv-LV"/>
        </w:rPr>
        <w:t>vienojusies</w:t>
      </w:r>
      <w:r w:rsidRPr="006604F8">
        <w:rPr>
          <w:rFonts w:ascii="Times New Roman" w:eastAsia="Times New Roman" w:hAnsi="Times New Roman"/>
          <w:sz w:val="24"/>
          <w:szCs w:val="24"/>
          <w:lang w:val="lv-LV" w:eastAsia="lv-LV"/>
        </w:rPr>
        <w:t xml:space="preserve"> par konstrukcijas krāsošanu, ko veiktu sabiedrība. Tāpat Komisija konstatē, ka lietā nav strīda par to, ka konstrukcija būtu sametināta nepareizi vai nekvalitatīvi, kā arī nav strīda, ka konstrukcijas krāsošanu veica patērētāja.</w:t>
      </w:r>
    </w:p>
    <w:p w14:paraId="1AFF1F7F" w14:textId="66EF48FD" w:rsidR="00D70B0C" w:rsidRPr="00826389" w:rsidRDefault="006604F8" w:rsidP="00826389">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6604F8">
        <w:rPr>
          <w:rFonts w:ascii="Times New Roman" w:eastAsia="Times New Roman" w:hAnsi="Times New Roman"/>
          <w:sz w:val="24"/>
          <w:szCs w:val="24"/>
          <w:lang w:val="lv-LV" w:eastAsia="lv-LV"/>
        </w:rPr>
        <w:t>No liet</w:t>
      </w:r>
      <w:r>
        <w:rPr>
          <w:rFonts w:ascii="Times New Roman" w:eastAsia="Times New Roman" w:hAnsi="Times New Roman"/>
          <w:sz w:val="24"/>
          <w:szCs w:val="24"/>
          <w:lang w:val="lv-LV" w:eastAsia="lv-LV"/>
        </w:rPr>
        <w:t>ā esošiem</w:t>
      </w:r>
      <w:r w:rsidRPr="006604F8">
        <w:rPr>
          <w:rFonts w:ascii="Times New Roman" w:eastAsia="Times New Roman" w:hAnsi="Times New Roman"/>
          <w:sz w:val="24"/>
          <w:szCs w:val="24"/>
          <w:lang w:val="lv-LV" w:eastAsia="lv-LV"/>
        </w:rPr>
        <w:t xml:space="preserve"> materiāliem </w:t>
      </w:r>
      <w:r>
        <w:rPr>
          <w:rFonts w:ascii="Times New Roman" w:eastAsia="Times New Roman" w:hAnsi="Times New Roman"/>
          <w:sz w:val="24"/>
          <w:szCs w:val="24"/>
          <w:lang w:val="lv-LV" w:eastAsia="lv-LV"/>
        </w:rPr>
        <w:t>secināms</w:t>
      </w:r>
      <w:r w:rsidRPr="006604F8">
        <w:rPr>
          <w:rFonts w:ascii="Times New Roman" w:eastAsia="Times New Roman" w:hAnsi="Times New Roman"/>
          <w:sz w:val="24"/>
          <w:szCs w:val="24"/>
          <w:lang w:val="lv-LV" w:eastAsia="lv-LV"/>
        </w:rPr>
        <w:t>, ka rūsas pazīmes konstrukcijai netika konstatētas tās nodošanas brīdī, ko apliecina fakts, ka patērētāja pieņēma sabiedrības izpildīto darbu bez iebildumiem.</w:t>
      </w:r>
    </w:p>
    <w:p w14:paraId="516B3CE4" w14:textId="481ECBDC" w:rsidR="00D70B0C" w:rsidRDefault="00D70B0C" w:rsidP="00D70B0C">
      <w:pPr>
        <w:widowControl/>
        <w:spacing w:after="0" w:line="240" w:lineRule="auto"/>
        <w:ind w:firstLine="709"/>
        <w:jc w:val="both"/>
        <w:rPr>
          <w:rFonts w:ascii="Times New Roman" w:eastAsia="Times New Roman" w:hAnsi="Times New Roman"/>
          <w:sz w:val="24"/>
          <w:szCs w:val="24"/>
          <w:lang w:val="lv-LV" w:eastAsia="lv-LV"/>
        </w:rPr>
      </w:pPr>
      <w:r w:rsidRPr="00D70B0C">
        <w:rPr>
          <w:rFonts w:ascii="Times New Roman" w:eastAsia="Times New Roman" w:hAnsi="Times New Roman"/>
          <w:sz w:val="24"/>
          <w:szCs w:val="24"/>
          <w:lang w:val="lv-LV" w:eastAsia="lv-LV"/>
        </w:rPr>
        <w:t xml:space="preserve">Komisija vērš uzmanību, ka saskaņā ar Patērētāju tiesību aizsardzības likuma (turpmāk – PTAL) 27. panta pirmo daļu pārdevējs un pakalpojuma sniedzējs ir atbildīgs par </w:t>
      </w:r>
      <w:r>
        <w:rPr>
          <w:rFonts w:ascii="Times New Roman" w:eastAsia="Times New Roman" w:hAnsi="Times New Roman"/>
          <w:sz w:val="24"/>
          <w:szCs w:val="24"/>
          <w:lang w:val="lv-LV" w:eastAsia="lv-LV"/>
        </w:rPr>
        <w:t xml:space="preserve">pārdotās </w:t>
      </w:r>
      <w:r w:rsidRPr="00D70B0C">
        <w:rPr>
          <w:rFonts w:ascii="Times New Roman" w:eastAsia="Times New Roman" w:hAnsi="Times New Roman"/>
          <w:sz w:val="24"/>
          <w:szCs w:val="24"/>
          <w:lang w:val="lv-LV" w:eastAsia="lv-LV"/>
        </w:rPr>
        <w:t>preces atbilstību līguma noteikumiem.</w:t>
      </w:r>
      <w:r>
        <w:rPr>
          <w:rFonts w:ascii="Times New Roman" w:eastAsia="Times New Roman" w:hAnsi="Times New Roman"/>
          <w:sz w:val="24"/>
          <w:szCs w:val="24"/>
          <w:lang w:val="lv-LV" w:eastAsia="lv-LV"/>
        </w:rPr>
        <w:t xml:space="preserve"> </w:t>
      </w:r>
      <w:r w:rsidRPr="00D70B0C">
        <w:rPr>
          <w:rFonts w:ascii="Times New Roman" w:eastAsia="Times New Roman" w:hAnsi="Times New Roman"/>
          <w:sz w:val="24"/>
          <w:szCs w:val="24"/>
          <w:lang w:val="lv-LV" w:eastAsia="lv-LV"/>
        </w:rPr>
        <w:t>Līdz ar to sabiedrība ir atbildīga par ražošanas defektiem</w:t>
      </w:r>
      <w:r>
        <w:rPr>
          <w:rFonts w:ascii="Times New Roman" w:eastAsia="Times New Roman" w:hAnsi="Times New Roman"/>
          <w:sz w:val="24"/>
          <w:szCs w:val="24"/>
          <w:lang w:val="lv-LV" w:eastAsia="lv-LV"/>
        </w:rPr>
        <w:t>, bet,</w:t>
      </w:r>
      <w:r w:rsidRPr="00D70B0C">
        <w:rPr>
          <w:rFonts w:ascii="Times New Roman" w:eastAsia="Times New Roman" w:hAnsi="Times New Roman"/>
          <w:sz w:val="24"/>
          <w:szCs w:val="24"/>
          <w:lang w:val="lv-LV" w:eastAsia="lv-LV"/>
        </w:rPr>
        <w:t xml:space="preserve"> ja bojājumi radušies no sabiedrības neatkarīgu iemeslu dēļ, tostarp materiāla dabisko īpašību vai ekspluatācijas apstākļu ietekmē, sabiedrībai nav pienākuma apmierināt patērētājas prasību.</w:t>
      </w:r>
    </w:p>
    <w:p w14:paraId="4A0A58E1" w14:textId="51A3FEE7" w:rsidR="00D70B0C" w:rsidRPr="00D70B0C" w:rsidRDefault="00D70B0C" w:rsidP="00D70B0C">
      <w:pPr>
        <w:widowControl/>
        <w:spacing w:after="0" w:line="240" w:lineRule="auto"/>
        <w:ind w:firstLine="709"/>
        <w:jc w:val="both"/>
        <w:rPr>
          <w:rFonts w:ascii="Times New Roman" w:eastAsia="Times New Roman" w:hAnsi="Times New Roman"/>
          <w:sz w:val="24"/>
          <w:szCs w:val="24"/>
          <w:lang w:val="lv-LV" w:eastAsia="lv-LV"/>
        </w:rPr>
      </w:pPr>
      <w:r w:rsidRPr="00D70B0C">
        <w:rPr>
          <w:rFonts w:ascii="Times New Roman" w:eastAsia="Times New Roman" w:hAnsi="Times New Roman"/>
          <w:sz w:val="24"/>
          <w:szCs w:val="24"/>
          <w:lang w:val="lv-LV" w:eastAsia="lv-LV"/>
        </w:rPr>
        <w:lastRenderedPageBreak/>
        <w:t>Komisija norāda, ka konstrukcija ir izgatavota no metāla, un vispārzināms fakts ir tas, ka metāls, saskaroties ar mitrumu, pakļaujas korozijai.</w:t>
      </w:r>
      <w:r>
        <w:rPr>
          <w:rFonts w:ascii="Times New Roman" w:eastAsia="Times New Roman" w:hAnsi="Times New Roman"/>
          <w:sz w:val="24"/>
          <w:szCs w:val="24"/>
          <w:lang w:val="lv-LV" w:eastAsia="lv-LV"/>
        </w:rPr>
        <w:t xml:space="preserve"> </w:t>
      </w:r>
      <w:r w:rsidRPr="00D70B0C">
        <w:rPr>
          <w:rFonts w:ascii="Times New Roman" w:eastAsia="Times New Roman" w:hAnsi="Times New Roman"/>
          <w:sz w:val="24"/>
          <w:szCs w:val="24"/>
          <w:lang w:val="lv-LV" w:eastAsia="lv-LV"/>
        </w:rPr>
        <w:t>Komisija</w:t>
      </w:r>
      <w:r>
        <w:rPr>
          <w:rFonts w:ascii="Times New Roman" w:eastAsia="Times New Roman" w:hAnsi="Times New Roman"/>
          <w:sz w:val="24"/>
          <w:szCs w:val="24"/>
          <w:lang w:val="lv-LV" w:eastAsia="lv-LV"/>
        </w:rPr>
        <w:t xml:space="preserve">, no lietas materiāliem </w:t>
      </w:r>
      <w:r w:rsidRPr="00D70B0C">
        <w:rPr>
          <w:rFonts w:ascii="Times New Roman" w:eastAsia="Times New Roman" w:hAnsi="Times New Roman"/>
          <w:sz w:val="24"/>
          <w:szCs w:val="24"/>
          <w:lang w:val="lv-LV" w:eastAsia="lv-LV"/>
        </w:rPr>
        <w:t>nekonstatē, ka patērētāja ar sabiedrību būtu vienojusies par metāla konstrukcijas pretkorozijas apstrādi. Līdz ar to, pat neliela mitruma ietekmē</w:t>
      </w:r>
      <w:r>
        <w:rPr>
          <w:rFonts w:ascii="Times New Roman" w:eastAsia="Times New Roman" w:hAnsi="Times New Roman"/>
          <w:sz w:val="24"/>
          <w:szCs w:val="24"/>
          <w:lang w:val="lv-LV" w:eastAsia="lv-LV"/>
        </w:rPr>
        <w:t xml:space="preserve">, </w:t>
      </w:r>
      <w:r w:rsidRPr="00D70B0C">
        <w:rPr>
          <w:rFonts w:ascii="Times New Roman" w:eastAsia="Times New Roman" w:hAnsi="Times New Roman"/>
          <w:sz w:val="24"/>
          <w:szCs w:val="24"/>
          <w:lang w:val="lv-LV" w:eastAsia="lv-LV"/>
        </w:rPr>
        <w:t>neatkarīgi no tā, vai tas veidojas kā kondensāts vai rodas metālam tieši saskaroties ar ūdeni</w:t>
      </w:r>
      <w:r>
        <w:rPr>
          <w:rFonts w:ascii="Times New Roman" w:eastAsia="Times New Roman" w:hAnsi="Times New Roman"/>
          <w:sz w:val="24"/>
          <w:szCs w:val="24"/>
          <w:lang w:val="lv-LV" w:eastAsia="lv-LV"/>
        </w:rPr>
        <w:t>,</w:t>
      </w:r>
      <w:r w:rsidRPr="00D70B0C">
        <w:rPr>
          <w:rFonts w:ascii="Times New Roman" w:eastAsia="Times New Roman" w:hAnsi="Times New Roman"/>
          <w:sz w:val="24"/>
          <w:szCs w:val="24"/>
          <w:lang w:val="lv-LV" w:eastAsia="lv-LV"/>
        </w:rPr>
        <w:t xml:space="preserve"> korozijas veidošanās ir saprotama un uzskatāma par dabisku procesu.</w:t>
      </w:r>
    </w:p>
    <w:p w14:paraId="455BC50A" w14:textId="77777777" w:rsidR="00D70B0C" w:rsidRDefault="00D70B0C" w:rsidP="00216F83">
      <w:pPr>
        <w:widowControl/>
        <w:spacing w:after="0" w:line="240" w:lineRule="auto"/>
        <w:ind w:firstLine="709"/>
        <w:jc w:val="both"/>
        <w:rPr>
          <w:rFonts w:ascii="Times New Roman" w:eastAsia="Times New Roman" w:hAnsi="Times New Roman"/>
          <w:sz w:val="24"/>
          <w:szCs w:val="24"/>
          <w:lang w:val="lv-LV" w:eastAsia="lv-LV"/>
        </w:rPr>
      </w:pPr>
      <w:r w:rsidRPr="00D70B0C">
        <w:rPr>
          <w:rFonts w:ascii="Times New Roman" w:eastAsia="Times New Roman" w:hAnsi="Times New Roman"/>
          <w:sz w:val="24"/>
          <w:szCs w:val="24"/>
          <w:lang w:val="lv-LV" w:eastAsia="lv-LV"/>
        </w:rPr>
        <w:t>No minētā izriet, ka nav pamata konstatēt, ka uzstādītā konstrukcija neatbilst līguma noteikumiem. Konstatētie bojājumi radušies materiāla dabisko īpašību dēļ, un šādu procesu varēja saprātīgi paredzēt.</w:t>
      </w:r>
    </w:p>
    <w:p w14:paraId="23997050" w14:textId="2F936A24" w:rsidR="000979D1" w:rsidRPr="000979D1" w:rsidRDefault="000979D1" w:rsidP="00216F83">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216F83">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216F83">
      <w:pPr>
        <w:widowControl/>
        <w:spacing w:after="0" w:line="240" w:lineRule="auto"/>
        <w:rPr>
          <w:rFonts w:ascii="Times New Roman" w:eastAsia="Times New Roman" w:hAnsi="Times New Roman"/>
          <w:sz w:val="24"/>
          <w:szCs w:val="24"/>
          <w:lang w:val="lv-LV" w:eastAsia="lv-LV"/>
        </w:rPr>
      </w:pPr>
    </w:p>
    <w:p w14:paraId="6934365D" w14:textId="1C7CA1F7" w:rsidR="000979D1" w:rsidRPr="000979D1" w:rsidRDefault="003672D5" w:rsidP="00216F83">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826389">
        <w:rPr>
          <w:rFonts w:ascii="Times New Roman" w:eastAsia="Times New Roman" w:hAnsi="Times New Roman"/>
          <w:sz w:val="24"/>
          <w:szCs w:val="24"/>
          <w:lang w:val="lv-LV" w:eastAsia="lv-LV"/>
        </w:rPr>
        <w:t>patērētājas</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216F83">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216F83">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6FBDC01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Liene Neimane</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481D" w14:textId="77777777" w:rsidR="00D30052" w:rsidRDefault="00D30052">
      <w:pPr>
        <w:spacing w:after="0" w:line="240" w:lineRule="auto"/>
      </w:pPr>
      <w:r>
        <w:separator/>
      </w:r>
    </w:p>
  </w:endnote>
  <w:endnote w:type="continuationSeparator" w:id="0">
    <w:p w14:paraId="6FE909D5" w14:textId="77777777" w:rsidR="00D30052" w:rsidRDefault="00D3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2F57" w14:textId="77777777" w:rsidR="00D30052" w:rsidRDefault="00D30052">
      <w:pPr>
        <w:spacing w:after="0" w:line="240" w:lineRule="auto"/>
      </w:pPr>
      <w:r>
        <w:separator/>
      </w:r>
    </w:p>
  </w:footnote>
  <w:footnote w:type="continuationSeparator" w:id="0">
    <w:p w14:paraId="0C190EF5" w14:textId="77777777" w:rsidR="00D30052" w:rsidRDefault="00D30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1B1660F"/>
    <w:multiLevelType w:val="multilevel"/>
    <w:tmpl w:val="412C934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6"/>
  </w:num>
  <w:num w:numId="14" w16cid:durableId="2125801384">
    <w:abstractNumId w:val="14"/>
  </w:num>
  <w:num w:numId="15" w16cid:durableId="826895981">
    <w:abstractNumId w:val="15"/>
  </w:num>
  <w:num w:numId="16" w16cid:durableId="773284139">
    <w:abstractNumId w:val="13"/>
  </w:num>
  <w:num w:numId="17" w16cid:durableId="861625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16F83"/>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672D5"/>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04F8"/>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389"/>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0C71"/>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AEA"/>
    <w:rsid w:val="00A61FA0"/>
    <w:rsid w:val="00A6559A"/>
    <w:rsid w:val="00A66B08"/>
    <w:rsid w:val="00A82ACB"/>
    <w:rsid w:val="00A83ABB"/>
    <w:rsid w:val="00A84310"/>
    <w:rsid w:val="00A94670"/>
    <w:rsid w:val="00A94C16"/>
    <w:rsid w:val="00A95756"/>
    <w:rsid w:val="00A95BEA"/>
    <w:rsid w:val="00A969CC"/>
    <w:rsid w:val="00A9793C"/>
    <w:rsid w:val="00AA506B"/>
    <w:rsid w:val="00AA561E"/>
    <w:rsid w:val="00AA6DC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52"/>
    <w:rsid w:val="00D42A58"/>
    <w:rsid w:val="00D571EC"/>
    <w:rsid w:val="00D57E8C"/>
    <w:rsid w:val="00D70B0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3346</Characters>
  <Application>Microsoft Office Word</Application>
  <DocSecurity>0</DocSecurity>
  <Lines>68</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3815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Bērante-Sukaruka</dc:creator>
  <cp:lastModifiedBy>Inta Bērante-Sukaruka</cp:lastModifiedBy>
  <cp:revision>2</cp:revision>
  <cp:lastPrinted>2021-12-06T11:50:00Z</cp:lastPrinted>
  <dcterms:created xsi:type="dcterms:W3CDTF">2026-03-06T10:19:00Z</dcterms:created>
  <dcterms:modified xsi:type="dcterms:W3CDTF">2026-03-06T10:19:00Z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