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01" w14:textId="23E2BE81" w:rsidR="00920FB6" w:rsidRPr="00920FB6" w:rsidRDefault="00C11752" w:rsidP="00920FB6">
      <w:pPr>
        <w:widowControl/>
        <w:spacing w:after="0" w:line="240" w:lineRule="auto"/>
        <w:ind w:firstLine="5103"/>
        <w:rPr>
          <w:rFonts w:ascii="Times New Roman" w:hAnsi="Times New Roman"/>
          <w:b/>
          <w:bCs/>
          <w:noProof/>
          <w:sz w:val="24"/>
          <w:szCs w:val="24"/>
          <w:lang w:val="lv-LV"/>
        </w:rPr>
      </w:pPr>
      <w:bookmarkStart w:id="0" w:name="_Hlk67055936"/>
      <w:bookmarkStart w:id="1" w:name="_Hlk69298173"/>
      <w:r>
        <w:rPr>
          <w:rFonts w:ascii="Times New Roman" w:hAnsi="Times New Roman"/>
          <w:b/>
          <w:bCs/>
          <w:noProof/>
          <w:sz w:val="24"/>
          <w:szCs w:val="24"/>
          <w:lang w:val="lv-LV"/>
        </w:rPr>
        <w:t>patērētājs</w:t>
      </w:r>
    </w:p>
    <w:p w14:paraId="5731F7A4" w14:textId="77777777" w:rsidR="00920FB6" w:rsidRDefault="00920FB6" w:rsidP="00920FB6">
      <w:pPr>
        <w:widowControl/>
        <w:spacing w:after="0" w:line="240" w:lineRule="auto"/>
        <w:ind w:firstLine="5103"/>
        <w:rPr>
          <w:rFonts w:ascii="Times New Roman" w:eastAsia="Times New Roman" w:hAnsi="Times New Roman"/>
          <w:b/>
          <w:bCs/>
          <w:sz w:val="24"/>
          <w:szCs w:val="24"/>
          <w:lang w:val="lv-LV"/>
        </w:rPr>
      </w:pPr>
    </w:p>
    <w:p w14:paraId="2B96D9E9" w14:textId="7FC29557" w:rsidR="00920FB6" w:rsidRPr="00920FB6" w:rsidRDefault="00C11752" w:rsidP="00920FB6">
      <w:pPr>
        <w:widowControl/>
        <w:spacing w:after="0" w:line="240" w:lineRule="auto"/>
        <w:ind w:firstLine="5103"/>
        <w:rPr>
          <w:rFonts w:ascii="Times New Roman" w:eastAsia="Times New Roman" w:hAnsi="Times New Roman"/>
          <w:b/>
          <w:sz w:val="24"/>
          <w:szCs w:val="24"/>
          <w:lang w:val="lv-LV"/>
        </w:rPr>
      </w:pPr>
      <w:r>
        <w:rPr>
          <w:rFonts w:ascii="Times New Roman" w:eastAsia="Times New Roman" w:hAnsi="Times New Roman"/>
          <w:b/>
          <w:bCs/>
          <w:sz w:val="24"/>
          <w:szCs w:val="24"/>
          <w:lang w:val="lv-LV"/>
        </w:rPr>
        <w:t>sabiedrība</w:t>
      </w:r>
    </w:p>
    <w:p w14:paraId="0500DE50" w14:textId="36710000" w:rsidR="00AA4274" w:rsidRPr="009B6530" w:rsidRDefault="00AA4274" w:rsidP="00920FB6">
      <w:pPr>
        <w:widowControl/>
        <w:spacing w:before="240" w:after="0" w:line="240" w:lineRule="auto"/>
        <w:ind w:firstLine="5103"/>
        <w:rPr>
          <w:rFonts w:ascii="Times New Roman" w:eastAsia="Times New Roman" w:hAnsi="Times New Roman"/>
          <w:b/>
          <w:sz w:val="24"/>
          <w:szCs w:val="24"/>
          <w:lang w:val="lv-LV"/>
        </w:rPr>
      </w:pP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4BEE76E8"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AA4274" w:rsidRPr="009B6530">
        <w:rPr>
          <w:rFonts w:ascii="Times New Roman" w:eastAsia="Times New Roman" w:hAnsi="Times New Roman"/>
          <w:sz w:val="24"/>
          <w:szCs w:val="24"/>
          <w:lang w:val="lv-LV" w:eastAsia="lv-LV"/>
        </w:rPr>
        <w:t>2</w:t>
      </w:r>
      <w:r w:rsidR="009D0134">
        <w:rPr>
          <w:rFonts w:ascii="Times New Roman" w:eastAsia="Times New Roman" w:hAnsi="Times New Roman"/>
          <w:sz w:val="24"/>
          <w:szCs w:val="24"/>
          <w:lang w:val="lv-LV" w:eastAsia="lv-LV"/>
        </w:rPr>
        <w:t>7</w:t>
      </w:r>
      <w:r w:rsidR="00AA4274" w:rsidRPr="009B6530">
        <w:rPr>
          <w:rFonts w:ascii="Times New Roman" w:eastAsia="Times New Roman" w:hAnsi="Times New Roman"/>
          <w:sz w:val="24"/>
          <w:szCs w:val="24"/>
          <w:lang w:val="lv-LV" w:eastAsia="lv-LV"/>
        </w:rPr>
        <w:t>.februārī</w:t>
      </w:r>
      <w:r w:rsidRPr="009B6530">
        <w:rPr>
          <w:rFonts w:ascii="Times New Roman" w:eastAsia="Times New Roman" w:hAnsi="Times New Roman"/>
          <w:sz w:val="24"/>
          <w:szCs w:val="24"/>
          <w:lang w:val="lv-LV" w:eastAsia="lv-LV"/>
        </w:rPr>
        <w:tab/>
        <w:t>Nr.</w:t>
      </w:r>
      <w:r w:rsidR="00AA4274" w:rsidRPr="009B6530">
        <w:rPr>
          <w:rFonts w:ascii="Aptos" w:hAnsi="Aptos"/>
          <w:color w:val="000000"/>
          <w:shd w:val="clear" w:color="auto" w:fill="FFFFFF"/>
          <w:lang w:val="lv-LV"/>
        </w:rPr>
        <w:t xml:space="preserve"> </w:t>
      </w:r>
      <w:r w:rsidR="00AA4274" w:rsidRPr="009B6530">
        <w:rPr>
          <w:rFonts w:ascii="Times New Roman" w:eastAsia="Times New Roman" w:hAnsi="Times New Roman"/>
          <w:sz w:val="24"/>
          <w:szCs w:val="24"/>
          <w:lang w:val="lv-LV" w:eastAsia="lv-LV"/>
        </w:rPr>
        <w:t>2026/2</w:t>
      </w:r>
      <w:r w:rsidR="00920FB6">
        <w:rPr>
          <w:rFonts w:ascii="Times New Roman" w:eastAsia="Times New Roman" w:hAnsi="Times New Roman"/>
          <w:sz w:val="24"/>
          <w:szCs w:val="24"/>
          <w:lang w:val="lv-LV" w:eastAsia="lv-LV"/>
        </w:rPr>
        <w:t>3</w:t>
      </w:r>
      <w:r w:rsidR="00AA4274" w:rsidRPr="009B6530">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6BF8F58E" w14:textId="098FEC14" w:rsidR="00920FB6"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Komisijas locekļi Andrejs Vanags kā patērētāju interešu pārstāvis un Ilze P</w:t>
      </w:r>
      <w:r w:rsidR="002F7939" w:rsidRPr="009B6530">
        <w:rPr>
          <w:rFonts w:ascii="Times New Roman" w:eastAsia="Times New Roman" w:hAnsi="Times New Roman"/>
          <w:sz w:val="24"/>
          <w:szCs w:val="24"/>
          <w:lang w:val="lv-LV" w:eastAsia="lv-LV"/>
        </w:rPr>
        <w:t>el</w:t>
      </w:r>
      <w:r w:rsidRPr="009B6530">
        <w:rPr>
          <w:rFonts w:ascii="Times New Roman" w:eastAsia="Times New Roman" w:hAnsi="Times New Roman"/>
          <w:sz w:val="24"/>
          <w:szCs w:val="24"/>
          <w:lang w:val="lv-LV" w:eastAsia="lv-LV"/>
        </w:rPr>
        <w:t>ša kā komersantu interešu pārstāve</w:t>
      </w:r>
      <w:r w:rsidR="00B5779D">
        <w:rPr>
          <w:rFonts w:ascii="Times New Roman" w:eastAsia="Times New Roman" w:hAnsi="Times New Roman"/>
          <w:sz w:val="24"/>
          <w:szCs w:val="24"/>
          <w:lang w:val="lv-LV" w:eastAsia="lv-LV"/>
        </w:rPr>
        <w:t xml:space="preserve"> </w:t>
      </w:r>
      <w:r w:rsidR="00920FB6" w:rsidRPr="00920FB6">
        <w:rPr>
          <w:rFonts w:ascii="Times New Roman" w:eastAsia="Times New Roman" w:hAnsi="Times New Roman"/>
          <w:sz w:val="24"/>
          <w:szCs w:val="24"/>
          <w:lang w:val="lv-LV" w:eastAsia="lv-LV"/>
        </w:rPr>
        <w:t>izskatīja rakstveida procesā strīdu starp patērētāj</w:t>
      </w:r>
      <w:r w:rsidR="00C11752">
        <w:rPr>
          <w:rFonts w:ascii="Times New Roman" w:eastAsia="Times New Roman" w:hAnsi="Times New Roman"/>
          <w:sz w:val="24"/>
          <w:szCs w:val="24"/>
          <w:lang w:val="lv-LV" w:eastAsia="lv-LV"/>
        </w:rPr>
        <w:t xml:space="preserve">u </w:t>
      </w:r>
      <w:r w:rsidR="00920FB6" w:rsidRPr="00920FB6">
        <w:rPr>
          <w:rFonts w:ascii="Times New Roman" w:eastAsia="Times New Roman" w:hAnsi="Times New Roman"/>
          <w:sz w:val="24"/>
          <w:szCs w:val="24"/>
          <w:lang w:val="lv-LV" w:eastAsia="lv-LV"/>
        </w:rPr>
        <w:t xml:space="preserve">un </w:t>
      </w:r>
      <w:proofErr w:type="spellStart"/>
      <w:r w:rsidR="00C11752">
        <w:rPr>
          <w:rFonts w:ascii="Times New Roman" w:eastAsia="Times New Roman" w:hAnsi="Times New Roman"/>
          <w:sz w:val="24"/>
          <w:szCs w:val="24"/>
          <w:lang w:val="lv-LV" w:eastAsia="lv-LV"/>
        </w:rPr>
        <w:t>s</w:t>
      </w:r>
      <w:r w:rsidR="00920FB6" w:rsidRPr="00920FB6">
        <w:rPr>
          <w:rFonts w:ascii="Times New Roman" w:eastAsia="Times New Roman" w:hAnsi="Times New Roman"/>
          <w:sz w:val="24"/>
          <w:szCs w:val="24"/>
          <w:lang w:val="lv-LV" w:eastAsia="lv-LV"/>
        </w:rPr>
        <w:t>abiedrība</w:t>
      </w:r>
      <w:r w:rsidR="00C11752">
        <w:rPr>
          <w:rFonts w:ascii="Times New Roman" w:eastAsia="Times New Roman" w:hAnsi="Times New Roman"/>
          <w:sz w:val="24"/>
          <w:szCs w:val="24"/>
          <w:lang w:val="lv-LV" w:eastAsia="lv-LV"/>
        </w:rPr>
        <w:t>u</w:t>
      </w:r>
      <w:proofErr w:type="spellEnd"/>
      <w:r w:rsidR="00C11752">
        <w:rPr>
          <w:rFonts w:ascii="Times New Roman" w:eastAsia="Times New Roman" w:hAnsi="Times New Roman"/>
          <w:sz w:val="24"/>
          <w:szCs w:val="24"/>
          <w:lang w:val="lv-LV" w:eastAsia="lv-LV"/>
        </w:rPr>
        <w:t xml:space="preserve"> </w:t>
      </w:r>
      <w:r w:rsidR="00920FB6" w:rsidRPr="00920FB6">
        <w:rPr>
          <w:rFonts w:ascii="Times New Roman" w:eastAsia="Times New Roman" w:hAnsi="Times New Roman"/>
          <w:sz w:val="24"/>
          <w:szCs w:val="24"/>
          <w:lang w:val="lv-LV" w:eastAsia="lv-LV"/>
        </w:rPr>
        <w:t>saistībā ar preces – granulu kamīna – iespējamu neatbilstību.</w:t>
      </w:r>
    </w:p>
    <w:p w14:paraId="75783B88" w14:textId="77777777" w:rsidR="009A0EE8" w:rsidRPr="00920FB6" w:rsidRDefault="009A0EE8" w:rsidP="00B5779D">
      <w:pPr>
        <w:widowControl/>
        <w:spacing w:after="0" w:line="240" w:lineRule="auto"/>
        <w:ind w:firstLine="720"/>
        <w:jc w:val="both"/>
        <w:rPr>
          <w:rFonts w:ascii="Times New Roman" w:eastAsia="Times New Roman" w:hAnsi="Times New Roman"/>
          <w:sz w:val="24"/>
          <w:szCs w:val="24"/>
          <w:lang w:val="lv-LV" w:eastAsia="lv-LV"/>
        </w:rPr>
      </w:pPr>
    </w:p>
    <w:p w14:paraId="7B0D5534" w14:textId="3E1EBE6E" w:rsidR="005C0399" w:rsidRPr="005C0399" w:rsidRDefault="00920FB6" w:rsidP="005C0399">
      <w:pPr>
        <w:widowControl/>
        <w:spacing w:after="0" w:line="240" w:lineRule="auto"/>
        <w:ind w:firstLine="720"/>
        <w:jc w:val="both"/>
        <w:rPr>
          <w:rFonts w:ascii="Times New Roman" w:eastAsia="Times New Roman" w:hAnsi="Times New Roman"/>
          <w:sz w:val="24"/>
          <w:szCs w:val="24"/>
          <w:lang w:val="lv-LV" w:eastAsia="lv-LV"/>
        </w:rPr>
      </w:pPr>
      <w:r w:rsidRPr="00920FB6">
        <w:rPr>
          <w:rFonts w:ascii="Times New Roman" w:eastAsia="Times New Roman" w:hAnsi="Times New Roman"/>
          <w:sz w:val="24"/>
          <w:szCs w:val="24"/>
          <w:lang w:val="lv-LV" w:eastAsia="lv-LV"/>
        </w:rPr>
        <w:t xml:space="preserve">No lietā esošajiem materiāliem izriet, ka patērētājs 2024. gada 2. oktobrī sabiedrības veikalā iegādājās granulu kamīnu par 656,00 EUR. </w:t>
      </w:r>
      <w:r w:rsidR="005C0399" w:rsidRPr="005C0399">
        <w:rPr>
          <w:rFonts w:ascii="Times New Roman" w:eastAsia="Times New Roman" w:hAnsi="Times New Roman"/>
          <w:sz w:val="24"/>
          <w:szCs w:val="24"/>
          <w:lang w:val="lv-LV" w:eastAsia="lv-LV"/>
        </w:rPr>
        <w:t>2025.gada 11.februārī, pēc neilgas lietošanas, granulu bunkurā notika aizdegšanās, par ko patērētājs informēja sabiedrību, un sabiedrība veica iekārtas tīrīšanu un nomainīja vadības plati un vadības displeja plati. 2025.gada 6.aprīlī aizdegšanās bunkurā atkārtojās, kā arī parādījās netipiskas skaņas</w:t>
      </w:r>
      <w:r w:rsidR="005C0399">
        <w:rPr>
          <w:rFonts w:ascii="Times New Roman" w:eastAsia="Times New Roman" w:hAnsi="Times New Roman"/>
          <w:sz w:val="24"/>
          <w:szCs w:val="24"/>
          <w:lang w:val="lv-LV" w:eastAsia="lv-LV"/>
        </w:rPr>
        <w:t>.</w:t>
      </w:r>
      <w:r w:rsidR="005C0399" w:rsidRPr="005C0399">
        <w:rPr>
          <w:rFonts w:ascii="Times New Roman" w:eastAsia="Times New Roman" w:hAnsi="Times New Roman"/>
          <w:sz w:val="24"/>
          <w:szCs w:val="24"/>
          <w:lang w:val="lv-LV" w:eastAsia="lv-LV"/>
        </w:rPr>
        <w:t xml:space="preserve"> 2025.gada 8.aprīlī patērētājs nogādāja iekārtu sabiedrības struktūrvienībā</w:t>
      </w:r>
      <w:r w:rsidR="00C11752">
        <w:rPr>
          <w:rFonts w:ascii="Times New Roman" w:eastAsia="Times New Roman" w:hAnsi="Times New Roman"/>
          <w:sz w:val="24"/>
          <w:szCs w:val="24"/>
          <w:lang w:val="lv-LV" w:eastAsia="lv-LV"/>
        </w:rPr>
        <w:t xml:space="preserve">. </w:t>
      </w:r>
      <w:r w:rsidR="005C0399" w:rsidRPr="005C0399">
        <w:rPr>
          <w:rFonts w:ascii="Times New Roman" w:eastAsia="Times New Roman" w:hAnsi="Times New Roman"/>
          <w:sz w:val="24"/>
          <w:szCs w:val="24"/>
          <w:lang w:val="lv-LV" w:eastAsia="lv-LV"/>
        </w:rPr>
        <w:t>2025.gada 6.jūnijā patērētājs iesniedza sabiedrībai iesniegumu, prasot atmaksāt par iekārtu samaksāto naudu</w:t>
      </w:r>
      <w:r w:rsidR="005C0399">
        <w:rPr>
          <w:rFonts w:ascii="Times New Roman" w:eastAsia="Times New Roman" w:hAnsi="Times New Roman"/>
          <w:sz w:val="24"/>
          <w:szCs w:val="24"/>
          <w:lang w:val="lv-LV" w:eastAsia="lv-LV"/>
        </w:rPr>
        <w:t>.</w:t>
      </w:r>
    </w:p>
    <w:p w14:paraId="3458A18E" w14:textId="087D56C8" w:rsidR="009A0EE8" w:rsidRPr="00920FB6" w:rsidRDefault="009A0EE8" w:rsidP="009A0EE8">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Patērētājs </w:t>
      </w:r>
      <w:r w:rsidR="005C0399">
        <w:rPr>
          <w:rFonts w:ascii="Times New Roman" w:eastAsia="Times New Roman" w:hAnsi="Times New Roman"/>
          <w:sz w:val="24"/>
          <w:szCs w:val="24"/>
          <w:lang w:val="lv-LV" w:eastAsia="lv-LV"/>
        </w:rPr>
        <w:t xml:space="preserve">2025.gada 7.julijā iesniedza Patērētāju tiesību aizsardzības centram (turpmāk – </w:t>
      </w:r>
      <w:r w:rsidR="005C0399" w:rsidRPr="009B6530">
        <w:rPr>
          <w:rFonts w:ascii="Times New Roman" w:eastAsia="Times New Roman" w:hAnsi="Times New Roman"/>
          <w:sz w:val="24"/>
          <w:szCs w:val="24"/>
          <w:lang w:val="lv-LV" w:eastAsia="lv-LV"/>
        </w:rPr>
        <w:t>PTAC</w:t>
      </w:r>
      <w:r w:rsidR="005C0399">
        <w:rPr>
          <w:rFonts w:ascii="Times New Roman" w:eastAsia="Times New Roman" w:hAnsi="Times New Roman"/>
          <w:sz w:val="24"/>
          <w:szCs w:val="24"/>
          <w:lang w:val="lv-LV" w:eastAsia="lv-LV"/>
        </w:rPr>
        <w:t>) iesniegumu, uzturot prasību par 656,00 EUR apmaksu.</w:t>
      </w:r>
    </w:p>
    <w:p w14:paraId="645D78BA" w14:textId="2189B246" w:rsidR="005C0399" w:rsidRPr="005C0399" w:rsidRDefault="00920FB6" w:rsidP="00DE7766">
      <w:pPr>
        <w:widowControl/>
        <w:spacing w:after="0" w:line="240" w:lineRule="auto"/>
        <w:ind w:firstLine="720"/>
        <w:jc w:val="both"/>
        <w:rPr>
          <w:rFonts w:ascii="Times New Roman" w:eastAsia="Times New Roman" w:hAnsi="Times New Roman"/>
          <w:sz w:val="24"/>
          <w:szCs w:val="24"/>
          <w:lang w:val="lv-LV" w:eastAsia="lv-LV"/>
        </w:rPr>
      </w:pPr>
      <w:r w:rsidRPr="00920FB6">
        <w:rPr>
          <w:rFonts w:ascii="Times New Roman" w:eastAsia="Times New Roman" w:hAnsi="Times New Roman"/>
          <w:sz w:val="24"/>
          <w:szCs w:val="24"/>
          <w:lang w:val="lv-LV" w:eastAsia="lv-LV"/>
        </w:rPr>
        <w:t xml:space="preserve">Sabiedrība, sniedzot PTAC skaidrojumu, norāda, ka </w:t>
      </w:r>
      <w:r w:rsidR="005C0399" w:rsidRPr="005C0399">
        <w:rPr>
          <w:rFonts w:ascii="Times New Roman" w:eastAsia="Times New Roman" w:hAnsi="Times New Roman"/>
          <w:sz w:val="24"/>
          <w:szCs w:val="24"/>
          <w:lang w:val="lv-LV" w:eastAsia="lv-LV"/>
        </w:rPr>
        <w:t xml:space="preserve">pēc patērētāja iesnieguma iekārta tika pieņemta un tai tika veikta tīrīšana un detaļu nomaiņa. Sabiedrība atkārtoti konstatēja, ka iekārta nav lietota atbilstoši lietošanas instrukcijai – video ieraksti apliecina, ka iekārtas </w:t>
      </w:r>
      <w:proofErr w:type="spellStart"/>
      <w:r w:rsidR="005C0399" w:rsidRPr="005C0399">
        <w:rPr>
          <w:rFonts w:ascii="Times New Roman" w:eastAsia="Times New Roman" w:hAnsi="Times New Roman"/>
          <w:sz w:val="24"/>
          <w:szCs w:val="24"/>
          <w:lang w:val="lv-LV" w:eastAsia="lv-LV"/>
        </w:rPr>
        <w:t>siltummainis</w:t>
      </w:r>
      <w:proofErr w:type="spellEnd"/>
      <w:r w:rsidR="005C0399" w:rsidRPr="005C0399">
        <w:rPr>
          <w:rFonts w:ascii="Times New Roman" w:eastAsia="Times New Roman" w:hAnsi="Times New Roman"/>
          <w:sz w:val="24"/>
          <w:szCs w:val="24"/>
          <w:lang w:val="lv-LV" w:eastAsia="lv-LV"/>
        </w:rPr>
        <w:t xml:space="preserve"> bija pilnībā piepildīts ar pelniem un iekārta netika tīrīta pietiekami bieži. Saskaņā ar lietošanas instrukciju krāsnij ir nepieciešama ikdienas un iknedēļas tīrīšana un regulāra apkope, pretējā gadījumā var izraisīties darbības traucējumi vai aizdegšanās</w:t>
      </w:r>
      <w:r w:rsidR="00DE7766">
        <w:rPr>
          <w:rFonts w:ascii="MS Mincho" w:eastAsia="MS Mincho" w:hAnsi="MS Mincho" w:cs="MS Mincho"/>
          <w:sz w:val="24"/>
          <w:szCs w:val="24"/>
          <w:lang w:val="lv-LV" w:eastAsia="lv-LV"/>
        </w:rPr>
        <w:t xml:space="preserve">. </w:t>
      </w:r>
      <w:r w:rsidR="005C0399" w:rsidRPr="005C0399">
        <w:rPr>
          <w:rFonts w:ascii="Times New Roman" w:eastAsia="Times New Roman" w:hAnsi="Times New Roman"/>
          <w:sz w:val="24"/>
          <w:szCs w:val="24"/>
          <w:lang w:val="lv-LV" w:eastAsia="lv-LV"/>
        </w:rPr>
        <w:t>Sabiedrība uzsvēra, ka abas reizes konstatētie bojājumi nav uzskatāmi par garantijas gadījumiem, jo tie saistīti ar nepareizu iekārtas ekspluatāciju, un tādēļ nav tiesiska pamata atmaksāt par preci samaksāto naudu</w:t>
      </w:r>
      <w:r w:rsidR="00DE7766">
        <w:rPr>
          <w:rFonts w:ascii="MS Mincho" w:eastAsia="MS Mincho" w:hAnsi="MS Mincho" w:cs="MS Mincho"/>
          <w:sz w:val="24"/>
          <w:szCs w:val="24"/>
          <w:lang w:val="lv-LV" w:eastAsia="lv-LV"/>
        </w:rPr>
        <w:t>.</w:t>
      </w:r>
    </w:p>
    <w:p w14:paraId="2DB018A0" w14:textId="77777777" w:rsidR="005C0399" w:rsidRPr="00920FB6" w:rsidRDefault="005C0399" w:rsidP="009A0EE8">
      <w:pPr>
        <w:widowControl/>
        <w:spacing w:after="0" w:line="240" w:lineRule="auto"/>
        <w:ind w:firstLine="720"/>
        <w:jc w:val="both"/>
        <w:rPr>
          <w:rFonts w:ascii="Times New Roman" w:eastAsia="Times New Roman" w:hAnsi="Times New Roman"/>
          <w:sz w:val="24"/>
          <w:szCs w:val="24"/>
          <w:lang w:val="lv-LV" w:eastAsia="lv-LV"/>
        </w:rPr>
      </w:pPr>
    </w:p>
    <w:p w14:paraId="6DF91455" w14:textId="078DF326" w:rsidR="00DE7766" w:rsidRPr="00DE7766" w:rsidRDefault="00920FB6" w:rsidP="00DE7766">
      <w:pPr>
        <w:widowControl/>
        <w:spacing w:after="0" w:line="240" w:lineRule="auto"/>
        <w:ind w:firstLine="720"/>
        <w:jc w:val="both"/>
        <w:rPr>
          <w:rFonts w:ascii="Times New Roman" w:eastAsia="Times New Roman" w:hAnsi="Times New Roman"/>
          <w:sz w:val="24"/>
          <w:szCs w:val="24"/>
          <w:lang w:val="lv-LV" w:eastAsia="lv-LV"/>
        </w:rPr>
      </w:pPr>
      <w:r w:rsidRPr="00920FB6">
        <w:rPr>
          <w:rFonts w:ascii="Times New Roman" w:eastAsia="Times New Roman" w:hAnsi="Times New Roman"/>
          <w:sz w:val="24"/>
          <w:szCs w:val="24"/>
          <w:lang w:val="lv-LV" w:eastAsia="lv-LV"/>
        </w:rPr>
        <w:t xml:space="preserve">Komisija, </w:t>
      </w:r>
      <w:r w:rsidR="00DE7766" w:rsidRPr="00DE7766">
        <w:rPr>
          <w:rFonts w:ascii="Times New Roman" w:eastAsia="Times New Roman" w:hAnsi="Times New Roman"/>
          <w:sz w:val="24"/>
          <w:szCs w:val="24"/>
          <w:lang w:val="lv-LV" w:eastAsia="lv-LV"/>
        </w:rPr>
        <w:t xml:space="preserve">izvērtējot lietā esošos materiālus un sabiedrības iesniegtos skaidrojumus, secina, ka patērētājs ir noslēdzis pirkuma līgumu par granulu kamīnu un lietojis iekārtu vairākus mēnešus, pirms parādījās darbības traucējumi. Sabiedrība ir pierādījusi, ka neatbilstība radusies patērētāja nepienācīgas ekspluatācijas dēļ – iekārta nav regulāri tīrīta un tās </w:t>
      </w:r>
      <w:proofErr w:type="spellStart"/>
      <w:r w:rsidR="00DE7766" w:rsidRPr="00DE7766">
        <w:rPr>
          <w:rFonts w:ascii="Times New Roman" w:eastAsia="Times New Roman" w:hAnsi="Times New Roman"/>
          <w:sz w:val="24"/>
          <w:szCs w:val="24"/>
          <w:lang w:val="lv-LV" w:eastAsia="lv-LV"/>
        </w:rPr>
        <w:t>siltummainis</w:t>
      </w:r>
      <w:proofErr w:type="spellEnd"/>
      <w:r w:rsidR="00DE7766" w:rsidRPr="00DE7766">
        <w:rPr>
          <w:rFonts w:ascii="Times New Roman" w:eastAsia="Times New Roman" w:hAnsi="Times New Roman"/>
          <w:sz w:val="24"/>
          <w:szCs w:val="24"/>
          <w:lang w:val="lv-LV" w:eastAsia="lv-LV"/>
        </w:rPr>
        <w:t xml:space="preserve"> bijis piepildīts ar pelniem, kas atbilstoši lietošanas instrukcijai var izraisīt aizdegšanos. Patērētājs nav iesniedzis pierādījumus, kas apstiprinātu, ka iekārtas neatbilstība pastāvējusi jau piegādes brīdī vai ka iekārta tikusi uzturēta atbilstoši ražotāja instrukcijai. Savukārt sabiedrība ir </w:t>
      </w:r>
      <w:r w:rsidR="00DE7766" w:rsidRPr="00DE7766">
        <w:rPr>
          <w:rFonts w:ascii="Times New Roman" w:eastAsia="Times New Roman" w:hAnsi="Times New Roman"/>
          <w:sz w:val="24"/>
          <w:szCs w:val="24"/>
          <w:lang w:val="lv-LV" w:eastAsia="lv-LV"/>
        </w:rPr>
        <w:lastRenderedPageBreak/>
        <w:t>izpildījusi pierādīšanas pienākumu, iesniedzot video ierakstus un citu dokumentāciju, kas apliecina nepareizu iekārtas ekspluatāciju</w:t>
      </w:r>
      <w:r w:rsidR="00DE7766">
        <w:rPr>
          <w:rFonts w:ascii="Times New Roman" w:eastAsia="Times New Roman" w:hAnsi="Times New Roman"/>
          <w:sz w:val="24"/>
          <w:szCs w:val="24"/>
          <w:lang w:val="lv-LV" w:eastAsia="lv-LV"/>
        </w:rPr>
        <w:t>.</w:t>
      </w:r>
    </w:p>
    <w:p w14:paraId="3301C54A" w14:textId="32F512DA" w:rsidR="00DE7766" w:rsidRPr="00DE7766" w:rsidRDefault="00DE7766" w:rsidP="00DE7766">
      <w:pPr>
        <w:widowControl/>
        <w:spacing w:after="0" w:line="240" w:lineRule="auto"/>
        <w:ind w:firstLine="720"/>
        <w:jc w:val="both"/>
        <w:rPr>
          <w:rFonts w:ascii="Times New Roman" w:eastAsia="Times New Roman" w:hAnsi="Times New Roman"/>
          <w:sz w:val="24"/>
          <w:szCs w:val="24"/>
          <w:lang w:val="lv-LV" w:eastAsia="lv-LV"/>
        </w:rPr>
      </w:pPr>
      <w:r w:rsidRPr="00DE7766">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ka patērētājam piegādātā prece atbilst līguma noteikumiem, un pārdevējs ir atbildīgs par neatbilstību, kas pastāvējusi preces piegādes brīdī un atklājas divu gadu laikā no piegādes dienas. Vienlaikus PTAL paredz prezumpciju, ka neatbilstība, kas atklājas gada laikā pēc preces piegādes, uzskatāma par pastāvējušu piegādes brīdī, ja vien pārdevējs nepierāda pretējo.</w:t>
      </w:r>
      <w:r>
        <w:rPr>
          <w:rFonts w:ascii="Times New Roman" w:eastAsia="Times New Roman" w:hAnsi="Times New Roman"/>
          <w:sz w:val="24"/>
          <w:szCs w:val="24"/>
          <w:lang w:val="lv-LV" w:eastAsia="lv-LV"/>
        </w:rPr>
        <w:t xml:space="preserve"> </w:t>
      </w:r>
      <w:r w:rsidRPr="00DE7766">
        <w:rPr>
          <w:rFonts w:ascii="Times New Roman" w:eastAsia="Times New Roman" w:hAnsi="Times New Roman"/>
          <w:sz w:val="24"/>
          <w:szCs w:val="24"/>
          <w:lang w:val="lv-LV" w:eastAsia="lv-LV"/>
        </w:rPr>
        <w:t>Savukārt saskaņā ar PTAL 28. panta piekto daļu patērētājam ir tiesības pieprasīt cenas samazinājumu vai atkāpties no līguma un saņemt par preci samaksātās naudas summas atmaksu, ja preces neatbilstība netiek novērsta.</w:t>
      </w:r>
      <w:r>
        <w:rPr>
          <w:rFonts w:ascii="Times New Roman" w:eastAsia="Times New Roman" w:hAnsi="Times New Roman"/>
          <w:sz w:val="24"/>
          <w:szCs w:val="24"/>
          <w:lang w:val="lv-LV" w:eastAsia="lv-LV"/>
        </w:rPr>
        <w:t xml:space="preserve"> </w:t>
      </w:r>
      <w:r w:rsidRPr="00DE7766">
        <w:rPr>
          <w:rFonts w:ascii="Times New Roman" w:eastAsia="Times New Roman" w:hAnsi="Times New Roman"/>
          <w:sz w:val="24"/>
          <w:szCs w:val="24"/>
          <w:lang w:val="lv-LV" w:eastAsia="lv-LV"/>
        </w:rPr>
        <w:t>Vienlaikus pārdevējs nav atbildīgs par preces bojājumiem, kas radušies patērētāja rīcības rezultātā, tostarp nepareizas ekspluatācijas vai lietošanas instrukcijas neievērošanas dēļ. Šādā gadījumā patērētājam, apstrīdot pārdevēja norādīto neatbilstības iemeslu, ir pienākums iesniegt pierādījumus, kas apliecina pretējo.</w:t>
      </w:r>
    </w:p>
    <w:p w14:paraId="32A45F47" w14:textId="4E1DAC48" w:rsidR="00920FB6" w:rsidRPr="00920FB6" w:rsidRDefault="00920FB6" w:rsidP="00DE7766">
      <w:pPr>
        <w:widowControl/>
        <w:spacing w:after="0" w:line="240" w:lineRule="auto"/>
        <w:ind w:firstLine="720"/>
        <w:jc w:val="both"/>
        <w:rPr>
          <w:rFonts w:ascii="Times New Roman" w:eastAsia="Times New Roman" w:hAnsi="Times New Roman"/>
          <w:sz w:val="24"/>
          <w:szCs w:val="24"/>
          <w:lang w:val="lv-LV" w:eastAsia="lv-LV"/>
        </w:rPr>
      </w:pPr>
      <w:r w:rsidRPr="00920FB6">
        <w:rPr>
          <w:rFonts w:ascii="Times New Roman" w:eastAsia="Times New Roman" w:hAnsi="Times New Roman"/>
          <w:sz w:val="24"/>
          <w:szCs w:val="24"/>
          <w:lang w:val="lv-LV" w:eastAsia="lv-LV"/>
        </w:rPr>
        <w:t>Komisija secina, ka patērētājs nav pierādījis preces neatbilstību līguma noteikumiem vai ražošanas defektu.</w:t>
      </w:r>
    </w:p>
    <w:p w14:paraId="115D3F3B" w14:textId="77777777" w:rsidR="008B5AE1" w:rsidRPr="008B5AE1" w:rsidRDefault="008B5AE1" w:rsidP="008B5AE1">
      <w:pPr>
        <w:widowControl/>
        <w:spacing w:after="0" w:line="240" w:lineRule="auto"/>
        <w:ind w:firstLine="720"/>
        <w:jc w:val="both"/>
        <w:rPr>
          <w:rFonts w:ascii="Times New Roman" w:eastAsia="Times New Roman" w:hAnsi="Times New Roman"/>
          <w:sz w:val="24"/>
          <w:szCs w:val="24"/>
          <w:lang w:val="lv-LV" w:eastAsia="lv-LV"/>
        </w:rPr>
      </w:pPr>
      <w:r w:rsidRPr="008B5AE1">
        <w:rPr>
          <w:rFonts w:ascii="Times New Roman" w:eastAsia="Times New Roman" w:hAnsi="Times New Roman"/>
          <w:sz w:val="24"/>
          <w:szCs w:val="24"/>
          <w:lang w:val="lv-LV" w:eastAsia="lv-LV"/>
        </w:rPr>
        <w:t>Ņemot vērā minēto, Komisija, pamatojoties uz PTAL 26</w:t>
      </w:r>
      <w:r w:rsidRPr="008B5AE1">
        <w:rPr>
          <w:rFonts w:ascii="Times New Roman" w:eastAsia="Times New Roman" w:hAnsi="Times New Roman"/>
          <w:sz w:val="24"/>
          <w:szCs w:val="24"/>
          <w:vertAlign w:val="superscript"/>
          <w:lang w:val="lv-LV" w:eastAsia="lv-LV"/>
        </w:rPr>
        <w:t xml:space="preserve">.3 </w:t>
      </w:r>
      <w:r w:rsidRPr="008B5AE1">
        <w:rPr>
          <w:rFonts w:ascii="Times New Roman" w:eastAsia="Times New Roman" w:hAnsi="Times New Roman"/>
          <w:sz w:val="24"/>
          <w:szCs w:val="24"/>
          <w:lang w:val="lv-LV" w:eastAsia="lv-LV"/>
        </w:rPr>
        <w:t>panta pirmo daļu un piektās daļas 9. punktu, 26.</w:t>
      </w:r>
      <w:r w:rsidRPr="008B5AE1">
        <w:rPr>
          <w:rFonts w:ascii="Times New Roman" w:eastAsia="Times New Roman" w:hAnsi="Times New Roman"/>
          <w:sz w:val="24"/>
          <w:szCs w:val="24"/>
          <w:vertAlign w:val="superscript"/>
          <w:lang w:val="lv-LV" w:eastAsia="lv-LV"/>
        </w:rPr>
        <w:t>4</w:t>
      </w:r>
      <w:r w:rsidRPr="008B5AE1">
        <w:rPr>
          <w:rFonts w:ascii="Times New Roman" w:eastAsia="Times New Roman" w:hAnsi="Times New Roman"/>
          <w:sz w:val="24"/>
          <w:szCs w:val="24"/>
          <w:lang w:val="lv-LV" w:eastAsia="lv-LV"/>
        </w:rPr>
        <w:t xml:space="preserve"> panta pirmo un otro daļu un 26.</w:t>
      </w:r>
      <w:r w:rsidRPr="008B5AE1">
        <w:rPr>
          <w:rFonts w:ascii="Times New Roman" w:eastAsia="Times New Roman" w:hAnsi="Times New Roman"/>
          <w:sz w:val="24"/>
          <w:szCs w:val="24"/>
          <w:vertAlign w:val="superscript"/>
          <w:lang w:val="lv-LV" w:eastAsia="lv-LV"/>
        </w:rPr>
        <w:t>11</w:t>
      </w:r>
      <w:r w:rsidRPr="008B5AE1">
        <w:rPr>
          <w:rFonts w:ascii="Times New Roman" w:eastAsia="Times New Roman" w:hAnsi="Times New Roman"/>
          <w:sz w:val="24"/>
          <w:szCs w:val="24"/>
          <w:lang w:val="lv-LV" w:eastAsia="lv-LV"/>
        </w:rPr>
        <w:t xml:space="preserve"> panta pirmo daļu</w:t>
      </w:r>
    </w:p>
    <w:p w14:paraId="68F22C1F" w14:textId="77777777" w:rsidR="00920FB6" w:rsidRPr="00920FB6" w:rsidRDefault="00920FB6" w:rsidP="009A0EE8">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2D939BB2" w14:textId="3C7C46BF" w:rsidR="00920FB6" w:rsidRDefault="00DE7766" w:rsidP="009A0EE8">
      <w:pPr>
        <w:widowControl/>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w:t>
      </w:r>
      <w:r w:rsidR="00920FB6" w:rsidRPr="00920FB6">
        <w:rPr>
          <w:rFonts w:ascii="Times New Roman" w:eastAsia="Times New Roman" w:hAnsi="Times New Roman"/>
          <w:sz w:val="24"/>
          <w:szCs w:val="24"/>
          <w:lang w:val="lv-LV" w:eastAsia="lv-LV"/>
        </w:rPr>
        <w:t>oraidīt patērētāja prasību par 656,00 EUR atmaksu.</w:t>
      </w:r>
    </w:p>
    <w:p w14:paraId="5FF7C10F" w14:textId="77777777" w:rsidR="008F7D4A" w:rsidRPr="00920FB6" w:rsidRDefault="008F7D4A" w:rsidP="009A0EE8">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Pr="009B6530"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2C6A2244" w14:textId="77777777" w:rsidR="00E34692" w:rsidRPr="009B6530" w:rsidRDefault="00E34692" w:rsidP="00E34692">
      <w:pPr>
        <w:widowControl/>
        <w:spacing w:after="0" w:line="240" w:lineRule="auto"/>
        <w:jc w:val="both"/>
        <w:rPr>
          <w:rFonts w:ascii="Times New Roman" w:eastAsia="Times New Roman" w:hAnsi="Times New Roman"/>
          <w:sz w:val="24"/>
          <w:szCs w:val="24"/>
          <w:lang w:val="lv-LV"/>
        </w:rPr>
      </w:pPr>
      <w:r w:rsidRPr="009B6530">
        <w:rPr>
          <w:rFonts w:ascii="Times New Roman" w:eastAsia="Times New Roman" w:hAnsi="Times New Roman"/>
          <w:sz w:val="24"/>
          <w:szCs w:val="24"/>
          <w:lang w:val="lv-LV"/>
        </w:rPr>
        <w:t>Komisijas lēmums ir labprātīgi izpildāms 30 dienu laikā no tā spēkā stāšanās dienas.</w:t>
      </w: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DB79" w14:textId="77777777" w:rsidR="008D7A3C" w:rsidRDefault="008D7A3C">
      <w:pPr>
        <w:spacing w:after="0" w:line="240" w:lineRule="auto"/>
      </w:pPr>
      <w:r>
        <w:separator/>
      </w:r>
    </w:p>
  </w:endnote>
  <w:endnote w:type="continuationSeparator" w:id="0">
    <w:p w14:paraId="665219F4" w14:textId="77777777" w:rsidR="008D7A3C" w:rsidRDefault="008D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47FF" w14:textId="77777777" w:rsidR="008D7A3C" w:rsidRDefault="008D7A3C">
      <w:pPr>
        <w:spacing w:after="0" w:line="240" w:lineRule="auto"/>
      </w:pPr>
      <w:r>
        <w:separator/>
      </w:r>
    </w:p>
  </w:footnote>
  <w:footnote w:type="continuationSeparator" w:id="0">
    <w:p w14:paraId="2645A4DB" w14:textId="77777777" w:rsidR="008D7A3C" w:rsidRDefault="008D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45AA"/>
    <w:rsid w:val="00053444"/>
    <w:rsid w:val="00063A6C"/>
    <w:rsid w:val="00066C93"/>
    <w:rsid w:val="00072B7F"/>
    <w:rsid w:val="00081D61"/>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F1542"/>
    <w:rsid w:val="002F7939"/>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53061"/>
    <w:rsid w:val="00663C3A"/>
    <w:rsid w:val="006776B1"/>
    <w:rsid w:val="006877E8"/>
    <w:rsid w:val="0069116F"/>
    <w:rsid w:val="006965CA"/>
    <w:rsid w:val="006A0CC6"/>
    <w:rsid w:val="006A2252"/>
    <w:rsid w:val="006A7C56"/>
    <w:rsid w:val="006B6EC4"/>
    <w:rsid w:val="006C2746"/>
    <w:rsid w:val="006D21B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D147F"/>
    <w:rsid w:val="00AD61DF"/>
    <w:rsid w:val="00AF411B"/>
    <w:rsid w:val="00B02035"/>
    <w:rsid w:val="00B03312"/>
    <w:rsid w:val="00B04C3E"/>
    <w:rsid w:val="00B10639"/>
    <w:rsid w:val="00B15FF7"/>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7C89"/>
    <w:rsid w:val="00C11752"/>
    <w:rsid w:val="00C14592"/>
    <w:rsid w:val="00C17432"/>
    <w:rsid w:val="00C21DDD"/>
    <w:rsid w:val="00C2214B"/>
    <w:rsid w:val="00C225F4"/>
    <w:rsid w:val="00C32FEE"/>
    <w:rsid w:val="00C36F8C"/>
    <w:rsid w:val="00C40E61"/>
    <w:rsid w:val="00C47CC2"/>
    <w:rsid w:val="00C47F57"/>
    <w:rsid w:val="00C6438B"/>
    <w:rsid w:val="00C65592"/>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3949</Characters>
  <Application>Microsoft Office Word</Application>
  <DocSecurity>0</DocSecurity>
  <Lines>68</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4497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2026-03-11T09:28:00Z</dcterms:created>
  <dcterms:modified xsi:type="dcterms:W3CDTF">2026-03-11T09:28:00Z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