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4B32B" w14:textId="7240CB10" w:rsidR="00D579A1" w:rsidRPr="00D579A1" w:rsidRDefault="00915CCA" w:rsidP="00D579A1">
      <w:pPr>
        <w:widowControl/>
        <w:spacing w:after="0" w:line="240" w:lineRule="auto"/>
        <w:ind w:left="5103"/>
        <w:rPr>
          <w:rFonts w:ascii="Times New Roman" w:eastAsia="Times New Roman" w:hAnsi="Times New Roman"/>
          <w:bCs/>
          <w:sz w:val="24"/>
          <w:szCs w:val="24"/>
          <w:lang w:val="lv-LV"/>
        </w:rPr>
      </w:pPr>
      <w:bookmarkStart w:id="0" w:name="_Hlk68767604"/>
      <w:bookmarkStart w:id="1" w:name="_Hlk99706303"/>
      <w:r>
        <w:rPr>
          <w:rFonts w:ascii="Times New Roman" w:eastAsia="Times New Roman" w:hAnsi="Times New Roman"/>
          <w:b/>
          <w:sz w:val="24"/>
          <w:szCs w:val="24"/>
          <w:lang w:val="lv-LV"/>
        </w:rPr>
        <w:t>patērētājs</w:t>
      </w:r>
    </w:p>
    <w:p w14:paraId="039A5144" w14:textId="77777777" w:rsidR="00D579A1" w:rsidRPr="00D579A1" w:rsidRDefault="00D579A1" w:rsidP="00D579A1">
      <w:pPr>
        <w:widowControl/>
        <w:spacing w:after="0" w:line="240" w:lineRule="auto"/>
        <w:ind w:left="5103"/>
        <w:rPr>
          <w:rFonts w:ascii="Times New Roman" w:eastAsia="Times New Roman" w:hAnsi="Times New Roman"/>
          <w:b/>
          <w:sz w:val="24"/>
          <w:szCs w:val="24"/>
          <w:lang w:val="lv-LV"/>
        </w:rPr>
      </w:pPr>
    </w:p>
    <w:p w14:paraId="6A3AA1A7" w14:textId="77777777" w:rsidR="00031D33" w:rsidRPr="00031D33" w:rsidRDefault="00031D33" w:rsidP="00031D33">
      <w:pPr>
        <w:widowControl/>
        <w:spacing w:after="0" w:line="240" w:lineRule="auto"/>
        <w:ind w:left="5103"/>
        <w:rPr>
          <w:rFonts w:ascii="Times New Roman" w:eastAsia="Times New Roman" w:hAnsi="Times New Roman"/>
          <w:b/>
          <w:sz w:val="24"/>
          <w:szCs w:val="24"/>
          <w:lang w:val="lv-LV"/>
        </w:rPr>
      </w:pPr>
    </w:p>
    <w:p w14:paraId="0E7597E0" w14:textId="4BE03DFD" w:rsidR="00031D33" w:rsidRPr="00031D33" w:rsidRDefault="00915CCA" w:rsidP="00031D33">
      <w:pPr>
        <w:widowControl/>
        <w:spacing w:after="0" w:line="240" w:lineRule="auto"/>
        <w:ind w:left="5103"/>
        <w:rPr>
          <w:rFonts w:ascii="Times New Roman" w:eastAsia="Times New Roman" w:hAnsi="Times New Roman"/>
          <w:bCs/>
          <w:sz w:val="24"/>
          <w:szCs w:val="24"/>
          <w:lang w:val="lv-LV"/>
        </w:rPr>
      </w:pPr>
      <w:r>
        <w:rPr>
          <w:rFonts w:ascii="Times New Roman" w:eastAsia="Times New Roman" w:hAnsi="Times New Roman"/>
          <w:b/>
          <w:sz w:val="24"/>
          <w:szCs w:val="24"/>
          <w:lang w:val="lv-LV"/>
        </w:rPr>
        <w:t>sabiedrība</w:t>
      </w:r>
      <w:r w:rsidR="00031D33" w:rsidRPr="00031D33">
        <w:rPr>
          <w:rFonts w:ascii="Times New Roman" w:eastAsia="Times New Roman" w:hAnsi="Times New Roman"/>
          <w:bCs/>
          <w:sz w:val="24"/>
          <w:szCs w:val="24"/>
          <w:lang w:val="lv-LV"/>
        </w:rPr>
        <w:t xml:space="preserve"> </w:t>
      </w:r>
    </w:p>
    <w:p w14:paraId="2F6982C5" w14:textId="77777777" w:rsidR="00031D33" w:rsidRDefault="00031D33" w:rsidP="00031D33">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0E715400" w:rsidR="00963C58" w:rsidRDefault="00D579A1"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23.03.202</w:t>
      </w:r>
      <w:r w:rsidR="00F43DEA">
        <w:rPr>
          <w:rFonts w:ascii="Times New Roman" w:eastAsia="Times New Roman" w:hAnsi="Times New Roman"/>
          <w:sz w:val="24"/>
          <w:lang w:val="lv-LV" w:eastAsia="lv-LV"/>
        </w:rPr>
        <w:t>6</w:t>
      </w:r>
      <w:r>
        <w:rPr>
          <w:rFonts w:ascii="Times New Roman" w:eastAsia="Times New Roman" w:hAnsi="Times New Roman"/>
          <w:sz w:val="24"/>
          <w:lang w:val="lv-LV" w:eastAsia="lv-LV"/>
        </w:rPr>
        <w:t>.</w:t>
      </w:r>
      <w:r w:rsidR="00963C58">
        <w:rPr>
          <w:rFonts w:ascii="Times New Roman" w:eastAsia="Times New Roman" w:hAnsi="Times New Roman"/>
          <w:sz w:val="24"/>
          <w:lang w:val="lv-LV" w:eastAsia="lv-LV"/>
        </w:rPr>
        <w:tab/>
      </w:r>
      <w:r>
        <w:rPr>
          <w:rFonts w:ascii="Times New Roman" w:eastAsia="Times New Roman" w:hAnsi="Times New Roman"/>
          <w:sz w:val="24"/>
          <w:lang w:val="lv-LV" w:eastAsia="lv-LV"/>
        </w:rPr>
        <w:t xml:space="preserve">                  </w:t>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031D33">
        <w:rPr>
          <w:rFonts w:ascii="Times New Roman" w:eastAsia="Times New Roman" w:hAnsi="Times New Roman"/>
          <w:sz w:val="24"/>
          <w:lang w:val="lv-LV" w:eastAsia="lv-LV"/>
        </w:rPr>
        <w:t>46</w:t>
      </w:r>
      <w:r w:rsidR="00963C58">
        <w:rPr>
          <w:rFonts w:ascii="Times New Roman" w:eastAsia="Times New Roman" w:hAnsi="Times New Roman"/>
          <w:sz w:val="24"/>
          <w:lang w:val="lv-LV" w:eastAsia="lv-LV"/>
        </w:rPr>
        <w:t>-psrk</w:t>
      </w:r>
    </w:p>
    <w:p w14:paraId="49E28B20"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Patērētāju strīdu risināšanas komisija (turpmāk – Komisija) šādā sastāvā:</w:t>
      </w:r>
    </w:p>
    <w:p w14:paraId="13001EEC"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06AF047A" w14:textId="7F428D4A"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 xml:space="preserve">Komisijas priekšsēdētājs </w:t>
      </w:r>
      <w:r>
        <w:rPr>
          <w:rFonts w:ascii="Times New Roman" w:eastAsia="Times New Roman" w:hAnsi="Times New Roman"/>
          <w:sz w:val="24"/>
          <w:lang w:val="lv-LV" w:eastAsia="lv-LV"/>
        </w:rPr>
        <w:t>Edgars Puriņš</w:t>
      </w:r>
    </w:p>
    <w:p w14:paraId="39FFB38C" w14:textId="653C3534"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 xml:space="preserve">Komisijas locekļi </w:t>
      </w:r>
      <w:r w:rsidR="00462012">
        <w:rPr>
          <w:rFonts w:ascii="Times New Roman" w:eastAsia="Times New Roman" w:hAnsi="Times New Roman"/>
          <w:sz w:val="24"/>
          <w:lang w:val="lv-LV" w:eastAsia="lv-LV"/>
        </w:rPr>
        <w:t>Mārtiņš Kokars</w:t>
      </w:r>
      <w:r w:rsidRPr="00D579A1">
        <w:rPr>
          <w:rFonts w:ascii="Times New Roman" w:eastAsia="Times New Roman" w:hAnsi="Times New Roman"/>
          <w:sz w:val="24"/>
          <w:lang w:val="lv-LV" w:eastAsia="lv-LV"/>
        </w:rPr>
        <w:t xml:space="preserve"> kā patērētāju interešu pārstāvis un </w:t>
      </w:r>
      <w:r w:rsidR="00462012">
        <w:rPr>
          <w:rFonts w:ascii="Times New Roman" w:eastAsia="Times New Roman" w:hAnsi="Times New Roman"/>
          <w:sz w:val="24"/>
          <w:lang w:val="lv-LV" w:eastAsia="lv-LV"/>
        </w:rPr>
        <w:t xml:space="preserve">Māris Vovks </w:t>
      </w:r>
      <w:r w:rsidRPr="00D579A1">
        <w:rPr>
          <w:rFonts w:ascii="Times New Roman" w:eastAsia="Times New Roman" w:hAnsi="Times New Roman"/>
          <w:sz w:val="24"/>
          <w:lang w:val="lv-LV" w:eastAsia="lv-LV"/>
        </w:rPr>
        <w:t>kā komersantu interešu pārstāvis</w:t>
      </w:r>
      <w:r w:rsidR="00031D33">
        <w:rPr>
          <w:rFonts w:ascii="Times New Roman" w:eastAsia="Times New Roman" w:hAnsi="Times New Roman"/>
          <w:sz w:val="24"/>
          <w:lang w:val="lv-LV" w:eastAsia="lv-LV"/>
        </w:rPr>
        <w:t xml:space="preserve"> </w:t>
      </w:r>
      <w:r w:rsidRPr="00D579A1">
        <w:rPr>
          <w:rFonts w:ascii="Times New Roman" w:eastAsia="Times New Roman" w:hAnsi="Times New Roman"/>
          <w:sz w:val="24"/>
          <w:lang w:val="lv-LV" w:eastAsia="lv-LV"/>
        </w:rPr>
        <w:t>izskatīja strīdu starp patērētāju un sabiedrīb</w:t>
      </w:r>
      <w:r w:rsidR="00915CCA">
        <w:rPr>
          <w:rFonts w:ascii="Times New Roman" w:eastAsia="Times New Roman" w:hAnsi="Times New Roman"/>
          <w:sz w:val="24"/>
          <w:lang w:val="lv-LV" w:eastAsia="lv-LV"/>
        </w:rPr>
        <w:t>u</w:t>
      </w:r>
      <w:r w:rsidRPr="00D579A1">
        <w:rPr>
          <w:rFonts w:ascii="Times New Roman" w:eastAsia="Times New Roman" w:hAnsi="Times New Roman"/>
          <w:sz w:val="24"/>
          <w:lang w:val="lv-LV" w:eastAsia="lv-LV"/>
        </w:rPr>
        <w:t xml:space="preserve"> saistībā ar preces kvalitāti.</w:t>
      </w:r>
    </w:p>
    <w:p w14:paraId="2197DB1A"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59BD34BC" w14:textId="5CA252F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 xml:space="preserve">No lietas materiāliem izriet, ka patērētājs 2025. gada 26. aprīlī sabiedrības veikalā </w:t>
      </w:r>
      <w:r w:rsidR="00AC0F80">
        <w:rPr>
          <w:rFonts w:ascii="Times New Roman" w:eastAsia="Times New Roman" w:hAnsi="Times New Roman"/>
          <w:sz w:val="24"/>
          <w:lang w:val="lv-LV" w:eastAsia="lv-LV"/>
        </w:rPr>
        <w:t xml:space="preserve">par </w:t>
      </w:r>
      <w:r w:rsidR="00AC0F80" w:rsidRPr="00AC0F80">
        <w:rPr>
          <w:rFonts w:ascii="Times New Roman" w:eastAsia="Times New Roman" w:hAnsi="Times New Roman"/>
          <w:sz w:val="24"/>
          <w:lang w:val="lv-LV" w:eastAsia="lv-LV"/>
        </w:rPr>
        <w:t xml:space="preserve">369,99 EUR </w:t>
      </w:r>
      <w:r w:rsidRPr="00D579A1">
        <w:rPr>
          <w:rFonts w:ascii="Times New Roman" w:eastAsia="Times New Roman" w:hAnsi="Times New Roman"/>
          <w:sz w:val="24"/>
          <w:lang w:val="lv-LV" w:eastAsia="lv-LV"/>
        </w:rPr>
        <w:t xml:space="preserve">iegādājās zāles pļāvēju. Pēc patērētāja norādītā prece tika izmantota vienu reizi, bet otrajā lietošanas reizē pārstāja darboties pašgājēja funkcija. 2025. gada 6. jūnijā patērētājs nodeva preci sabiedrības servisā ar defektu “neiet </w:t>
      </w:r>
      <w:proofErr w:type="spellStart"/>
      <w:r w:rsidRPr="00D579A1">
        <w:rPr>
          <w:rFonts w:ascii="Times New Roman" w:eastAsia="Times New Roman" w:hAnsi="Times New Roman"/>
          <w:sz w:val="24"/>
          <w:lang w:val="lv-LV" w:eastAsia="lv-LV"/>
        </w:rPr>
        <w:t>pašgaita</w:t>
      </w:r>
      <w:proofErr w:type="spellEnd"/>
      <w:r w:rsidRPr="00D579A1">
        <w:rPr>
          <w:rFonts w:ascii="Times New Roman" w:eastAsia="Times New Roman" w:hAnsi="Times New Roman"/>
          <w:sz w:val="24"/>
          <w:lang w:val="lv-LV" w:eastAsia="lv-LV"/>
        </w:rPr>
        <w:t>”.</w:t>
      </w:r>
    </w:p>
    <w:p w14:paraId="4A9CE44B"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7FEEDC78"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 xml:space="preserve">Pēc remonta prece tika atdota patērētājam, taču pēc vienas lietošanas reizes 2025. gada 27. jūnijā patērētājs atkārtoti nodeva preci remontam, norādot, ka no korpusa apakšas nokritusi metāla daļa un bojāts asmens. Patērētājs iesniegumā norādīja, ka </w:t>
      </w:r>
      <w:r w:rsidRPr="00031D33">
        <w:rPr>
          <w:rFonts w:ascii="Times New Roman" w:eastAsia="Times New Roman" w:hAnsi="Times New Roman"/>
          <w:sz w:val="24"/>
          <w:lang w:val="lv-LV" w:eastAsia="lv-LV"/>
        </w:rPr>
        <w:t xml:space="preserve">vēlas saņemt jaunu preci vai naudas atmaksu. Sabiedrība informēja, ka prece tik un tā </w:t>
      </w:r>
      <w:proofErr w:type="spellStart"/>
      <w:r w:rsidRPr="00031D33">
        <w:rPr>
          <w:rFonts w:ascii="Times New Roman" w:eastAsia="Times New Roman" w:hAnsi="Times New Roman"/>
          <w:sz w:val="24"/>
          <w:lang w:val="lv-LV" w:eastAsia="lv-LV"/>
        </w:rPr>
        <w:t>jānosūta</w:t>
      </w:r>
      <w:proofErr w:type="spellEnd"/>
      <w:r w:rsidRPr="00031D33">
        <w:rPr>
          <w:rFonts w:ascii="Times New Roman" w:eastAsia="Times New Roman" w:hAnsi="Times New Roman"/>
          <w:sz w:val="24"/>
          <w:lang w:val="lv-LV" w:eastAsia="lv-LV"/>
        </w:rPr>
        <w:t xml:space="preserve"> uz remontu</w:t>
      </w:r>
      <w:r w:rsidRPr="00305BD4">
        <w:rPr>
          <w:rFonts w:ascii="Times New Roman" w:eastAsia="Times New Roman" w:hAnsi="Times New Roman"/>
          <w:b/>
          <w:bCs/>
          <w:sz w:val="24"/>
          <w:lang w:val="lv-LV" w:eastAsia="lv-LV"/>
        </w:rPr>
        <w:t>.</w:t>
      </w:r>
    </w:p>
    <w:p w14:paraId="098CF5E3"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7FC1B68A" w14:textId="77777777" w:rsidR="00D579A1" w:rsidRPr="00031D33"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 xml:space="preserve">2025. gada 15. jūlijā sabiedrība informēja patērētāju, ka prece ir salabota. 2025. gada 16. jūlijā, ierodoties veikalā, patērētājs konstatēja, ka prece ir pavirši un nekvalitatīvi labota – korpusā ir izdedzināti caurumi metināšanas darbu rezultātā, kā arī asmens nav ticis nomainīts. </w:t>
      </w:r>
      <w:r w:rsidRPr="00031D33">
        <w:rPr>
          <w:rFonts w:ascii="Times New Roman" w:eastAsia="Times New Roman" w:hAnsi="Times New Roman"/>
          <w:sz w:val="24"/>
          <w:lang w:val="lv-LV" w:eastAsia="lv-LV"/>
        </w:rPr>
        <w:t>Patērētājs iesniedza prasību par naudas atmaksu.</w:t>
      </w:r>
    </w:p>
    <w:p w14:paraId="4584CB5C"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127A72C0"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Jūlija beigās sabiedrība informēja patērētāju</w:t>
      </w:r>
      <w:r w:rsidRPr="00031D33">
        <w:rPr>
          <w:rFonts w:ascii="Times New Roman" w:eastAsia="Times New Roman" w:hAnsi="Times New Roman"/>
          <w:sz w:val="24"/>
          <w:lang w:val="lv-LV" w:eastAsia="lv-LV"/>
        </w:rPr>
        <w:t>, ka prece atkal ir salabota</w:t>
      </w:r>
      <w:r w:rsidRPr="00D579A1">
        <w:rPr>
          <w:rFonts w:ascii="Times New Roman" w:eastAsia="Times New Roman" w:hAnsi="Times New Roman"/>
          <w:sz w:val="24"/>
          <w:lang w:val="lv-LV" w:eastAsia="lv-LV"/>
        </w:rPr>
        <w:t>, taču patērētājs atteicās to pieņemt. 2025. gada 6. augustā sabiedrība paziņoja, ka atsakās atgriezt naudu un patērētājam ir jāpieņem prece. Patērētājs preci nepieņēma un pieprasīja lietas materiālus. Patērētājs lūdz Komisiju atcelt līgumu un atmaksāt par preci samaksāto naudas summu.</w:t>
      </w:r>
    </w:p>
    <w:p w14:paraId="7E90D98E"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15F72A6E"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Sabiedrība lietā ir sniegusi skaidrojumu, kurā norāda, ka visi patērētāja norādītie defekti ir novērsti, prece esot kvalitatīvi salabota un atbilstot līguma noteikumiem. Sabiedrība uzskata patērētāja prasību par naudas atmaksu par nesamērīgu un atsaka to izpildīt, pamatojoties uz to, ka neatbilstības esot novērstas un prece darbojas bez traucējumiem.</w:t>
      </w:r>
    </w:p>
    <w:p w14:paraId="46236B98"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57E37172"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lastRenderedPageBreak/>
        <w:t>Komisija, izvērtējot lietā esošos apstākļus, secina, ka prece sabiedrībai nodota remontam trīs reizes, defekti atkārtojušies, un otrais remonts nav veikts kvalitatīvi. No PTAC 2025. gada 30. oktobra vēstules izriet, ka otrais remonts veikts bez patērētāja piekrišanas un nav nodrošinājis preces atbilstību. Prece ilgstoši nav bijusi izmantojama, un patērētājam radušās būtiskas neērtības.</w:t>
      </w:r>
    </w:p>
    <w:p w14:paraId="4B840A57"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238D82F9"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Komisija skaidro,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p>
    <w:p w14:paraId="06E65C5C"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4E71D6FD"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Savukārt, atbilstoši PTAL 28. panta piektajai daļai, patērētājam ir tiesības pieprasīt, lai pārdevējs samērīgi samazina preces cenu vai atceļ līgumu un atmaksā par preci samaksāto naudas summu, ja pārdevējs saprātīgā termiņā nav novērsis preces neatbilstību līguma noteikumiem vai nav apmainījis preci pret līguma noteikumiem atbilstošu preci.</w:t>
      </w:r>
    </w:p>
    <w:p w14:paraId="00519024"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6F9EF9AA" w14:textId="1CA0CEAF"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No minētā izriet, ka sabiedrība nav nodrošinājusi preces atbilstību saprātīgā termiņā, neatbilstības atkārtojušās, un vairākkārtējie remonti radījuši būtiskas neērtības patērētājam. Līdz ar to ir iestājies PTAL 28. panta piektajā daļā noteiktais pamats līguma atcelšanai</w:t>
      </w:r>
      <w:r w:rsidR="00031D33">
        <w:rPr>
          <w:rFonts w:ascii="Times New Roman" w:eastAsia="Times New Roman" w:hAnsi="Times New Roman"/>
          <w:sz w:val="24"/>
          <w:lang w:val="lv-LV" w:eastAsia="lv-LV"/>
        </w:rPr>
        <w:t xml:space="preserve"> un </w:t>
      </w:r>
      <w:r w:rsidRPr="00D579A1">
        <w:rPr>
          <w:rFonts w:ascii="Times New Roman" w:eastAsia="Times New Roman" w:hAnsi="Times New Roman"/>
          <w:sz w:val="24"/>
          <w:lang w:val="lv-LV" w:eastAsia="lv-LV"/>
        </w:rPr>
        <w:t>patērētājam ir tiesības saņemt atpakaļ par preci samaksāto naudas summu.</w:t>
      </w:r>
    </w:p>
    <w:p w14:paraId="40DCEA77"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761BACDF"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r w:rsidRPr="00D579A1">
        <w:rPr>
          <w:rFonts w:ascii="Times New Roman" w:eastAsia="Times New Roman" w:hAnsi="Times New Roman"/>
          <w:sz w:val="24"/>
          <w:lang w:val="lv-LV" w:eastAsia="lv-LV"/>
        </w:rPr>
        <w:t>Ņemot vērā minēto, Komisija, pamatojoties uz Patērētāju tiesību aizsardzības likuma 26.</w:t>
      </w:r>
      <w:r w:rsidRPr="00D579A1">
        <w:rPr>
          <w:rFonts w:ascii="Times New Roman" w:eastAsia="Times New Roman" w:hAnsi="Times New Roman"/>
          <w:sz w:val="24"/>
          <w:vertAlign w:val="superscript"/>
          <w:lang w:val="lv-LV" w:eastAsia="lv-LV"/>
        </w:rPr>
        <w:t>3</w:t>
      </w:r>
      <w:r w:rsidRPr="00D579A1">
        <w:rPr>
          <w:rFonts w:ascii="Times New Roman" w:eastAsia="Times New Roman" w:hAnsi="Times New Roman"/>
          <w:sz w:val="24"/>
          <w:lang w:val="lv-LV" w:eastAsia="lv-LV"/>
        </w:rPr>
        <w:t xml:space="preserve"> panta pirmo daļu, 26.</w:t>
      </w:r>
      <w:r w:rsidRPr="00D579A1">
        <w:rPr>
          <w:rFonts w:ascii="Times New Roman" w:eastAsia="Times New Roman" w:hAnsi="Times New Roman"/>
          <w:sz w:val="24"/>
          <w:vertAlign w:val="superscript"/>
          <w:lang w:val="lv-LV" w:eastAsia="lv-LV"/>
        </w:rPr>
        <w:t xml:space="preserve">4 </w:t>
      </w:r>
      <w:r w:rsidRPr="00D579A1">
        <w:rPr>
          <w:rFonts w:ascii="Times New Roman" w:eastAsia="Times New Roman" w:hAnsi="Times New Roman"/>
          <w:sz w:val="24"/>
          <w:lang w:val="lv-LV" w:eastAsia="lv-LV"/>
        </w:rPr>
        <w:t>panta pirmo un otro daļu, 26.</w:t>
      </w:r>
      <w:r w:rsidRPr="00D579A1">
        <w:rPr>
          <w:rFonts w:ascii="Times New Roman" w:eastAsia="Times New Roman" w:hAnsi="Times New Roman"/>
          <w:sz w:val="24"/>
          <w:vertAlign w:val="superscript"/>
          <w:lang w:val="lv-LV" w:eastAsia="lv-LV"/>
        </w:rPr>
        <w:t>11</w:t>
      </w:r>
      <w:r w:rsidRPr="00D579A1">
        <w:rPr>
          <w:rFonts w:ascii="Times New Roman" w:eastAsia="Times New Roman" w:hAnsi="Times New Roman"/>
          <w:sz w:val="24"/>
          <w:lang w:val="lv-LV" w:eastAsia="lv-LV"/>
        </w:rPr>
        <w:t xml:space="preserve"> panta pirmo daļu, 26.</w:t>
      </w:r>
      <w:r w:rsidRPr="00D579A1">
        <w:rPr>
          <w:rFonts w:ascii="Times New Roman" w:eastAsia="Times New Roman" w:hAnsi="Times New Roman"/>
          <w:sz w:val="24"/>
          <w:vertAlign w:val="superscript"/>
          <w:lang w:val="lv-LV" w:eastAsia="lv-LV"/>
        </w:rPr>
        <w:t>12</w:t>
      </w:r>
      <w:r w:rsidRPr="00D579A1">
        <w:rPr>
          <w:rFonts w:ascii="Times New Roman" w:eastAsia="Times New Roman" w:hAnsi="Times New Roman"/>
          <w:sz w:val="24"/>
          <w:lang w:val="lv-LV" w:eastAsia="lv-LV"/>
        </w:rPr>
        <w:t xml:space="preserve"> panta pirmo un otro daļu,</w:t>
      </w:r>
    </w:p>
    <w:p w14:paraId="1EC3D875"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p w14:paraId="5A53B447" w14:textId="77777777" w:rsidR="00D579A1" w:rsidRPr="00D579A1" w:rsidRDefault="00D579A1" w:rsidP="00D579A1">
      <w:pPr>
        <w:widowControl/>
        <w:spacing w:after="0" w:line="240" w:lineRule="auto"/>
        <w:ind w:firstLine="720"/>
        <w:jc w:val="center"/>
        <w:rPr>
          <w:rFonts w:ascii="Times New Roman" w:eastAsia="Times New Roman" w:hAnsi="Times New Roman"/>
          <w:b/>
          <w:bCs/>
          <w:sz w:val="24"/>
          <w:lang w:val="lv-LV" w:eastAsia="lv-LV"/>
        </w:rPr>
      </w:pPr>
      <w:r w:rsidRPr="00D579A1">
        <w:rPr>
          <w:rFonts w:ascii="Times New Roman" w:eastAsia="Times New Roman" w:hAnsi="Times New Roman"/>
          <w:b/>
          <w:bCs/>
          <w:sz w:val="24"/>
          <w:lang w:val="lv-LV" w:eastAsia="lv-LV"/>
        </w:rPr>
        <w:t>nolemj:</w:t>
      </w:r>
    </w:p>
    <w:p w14:paraId="5837F556" w14:textId="77777777" w:rsidR="00D579A1" w:rsidRPr="00D579A1" w:rsidRDefault="00D579A1" w:rsidP="00D579A1">
      <w:pPr>
        <w:widowControl/>
        <w:spacing w:after="0" w:line="240" w:lineRule="auto"/>
        <w:ind w:firstLine="720"/>
        <w:jc w:val="both"/>
        <w:rPr>
          <w:rFonts w:ascii="Times New Roman" w:eastAsia="Times New Roman" w:hAnsi="Times New Roman"/>
          <w:b/>
          <w:bCs/>
          <w:sz w:val="24"/>
          <w:lang w:val="lv-LV" w:eastAsia="lv-LV"/>
        </w:rPr>
      </w:pPr>
    </w:p>
    <w:p w14:paraId="75CBD382" w14:textId="4E332FC0" w:rsidR="00D579A1" w:rsidRPr="00D579A1" w:rsidRDefault="00D579A1" w:rsidP="00D579A1">
      <w:pPr>
        <w:widowControl/>
        <w:spacing w:after="0" w:line="240" w:lineRule="auto"/>
        <w:ind w:firstLine="720"/>
        <w:jc w:val="both"/>
        <w:rPr>
          <w:rFonts w:ascii="Times New Roman" w:eastAsia="Times New Roman" w:hAnsi="Times New Roman"/>
          <w:b/>
          <w:bCs/>
          <w:sz w:val="24"/>
          <w:lang w:val="lv-LV" w:eastAsia="lv-LV"/>
        </w:rPr>
      </w:pPr>
      <w:r w:rsidRPr="00D579A1">
        <w:rPr>
          <w:rFonts w:ascii="Times New Roman" w:eastAsia="Times New Roman" w:hAnsi="Times New Roman"/>
          <w:b/>
          <w:bCs/>
          <w:sz w:val="24"/>
          <w:lang w:val="lv-LV" w:eastAsia="lv-LV"/>
        </w:rPr>
        <w:t xml:space="preserve">apmierināt </w:t>
      </w:r>
      <w:r w:rsidR="00915CCA">
        <w:rPr>
          <w:rFonts w:ascii="Times New Roman" w:eastAsia="Times New Roman" w:hAnsi="Times New Roman"/>
          <w:b/>
          <w:bCs/>
          <w:sz w:val="24"/>
          <w:lang w:val="lv-LV" w:eastAsia="lv-LV"/>
        </w:rPr>
        <w:t>patērētāja</w:t>
      </w:r>
      <w:r w:rsidRPr="00D579A1">
        <w:rPr>
          <w:rFonts w:ascii="Times New Roman" w:eastAsia="Times New Roman" w:hAnsi="Times New Roman"/>
          <w:b/>
          <w:bCs/>
          <w:sz w:val="24"/>
          <w:lang w:val="lv-LV" w:eastAsia="lv-LV"/>
        </w:rPr>
        <w:t xml:space="preserve"> prasību.</w:t>
      </w:r>
    </w:p>
    <w:p w14:paraId="277E1851" w14:textId="77777777" w:rsidR="00D579A1" w:rsidRPr="00D579A1" w:rsidRDefault="00D579A1" w:rsidP="00D579A1">
      <w:pPr>
        <w:widowControl/>
        <w:spacing w:after="0" w:line="240" w:lineRule="auto"/>
        <w:ind w:firstLine="720"/>
        <w:jc w:val="both"/>
        <w:rPr>
          <w:rFonts w:ascii="Times New Roman" w:eastAsia="Times New Roman" w:hAnsi="Times New Roman"/>
          <w:b/>
          <w:bCs/>
          <w:sz w:val="24"/>
          <w:lang w:val="lv-LV" w:eastAsia="lv-LV"/>
        </w:rPr>
      </w:pPr>
    </w:p>
    <w:p w14:paraId="2B779918" w14:textId="1CBBB3F1" w:rsidR="00D579A1" w:rsidRPr="00D579A1" w:rsidRDefault="00D579A1" w:rsidP="00D579A1">
      <w:pPr>
        <w:widowControl/>
        <w:spacing w:after="0" w:line="240" w:lineRule="auto"/>
        <w:ind w:firstLine="720"/>
        <w:jc w:val="both"/>
        <w:rPr>
          <w:rFonts w:ascii="Times New Roman" w:eastAsia="Times New Roman" w:hAnsi="Times New Roman"/>
          <w:b/>
          <w:bCs/>
          <w:sz w:val="24"/>
          <w:lang w:val="lv-LV" w:eastAsia="lv-LV"/>
        </w:rPr>
      </w:pPr>
      <w:r w:rsidRPr="00D579A1">
        <w:rPr>
          <w:rFonts w:ascii="Times New Roman" w:eastAsia="Times New Roman" w:hAnsi="Times New Roman"/>
          <w:b/>
          <w:bCs/>
          <w:sz w:val="24"/>
          <w:lang w:val="lv-LV" w:eastAsia="lv-LV"/>
        </w:rPr>
        <w:t xml:space="preserve">Sabiedrībai atmaksāt patērētājam par preci samaksāto naudas summu </w:t>
      </w:r>
      <w:r w:rsidR="00AC0F80">
        <w:rPr>
          <w:rFonts w:ascii="Times New Roman" w:eastAsia="Times New Roman" w:hAnsi="Times New Roman"/>
          <w:b/>
          <w:bCs/>
          <w:sz w:val="24"/>
          <w:lang w:val="lv-LV" w:eastAsia="lv-LV"/>
        </w:rPr>
        <w:t>369,99</w:t>
      </w:r>
      <w:r w:rsidRPr="00D579A1">
        <w:rPr>
          <w:rFonts w:ascii="Times New Roman" w:eastAsia="Times New Roman" w:hAnsi="Times New Roman"/>
          <w:b/>
          <w:bCs/>
          <w:sz w:val="24"/>
          <w:lang w:val="lv-LV" w:eastAsia="lv-LV"/>
        </w:rPr>
        <w:t xml:space="preserve"> EUR apmērā.</w:t>
      </w:r>
    </w:p>
    <w:p w14:paraId="2638F401" w14:textId="77777777" w:rsidR="00D579A1" w:rsidRPr="00D579A1" w:rsidRDefault="00D579A1" w:rsidP="00D579A1">
      <w:pPr>
        <w:widowControl/>
        <w:spacing w:after="0" w:line="240" w:lineRule="auto"/>
        <w:ind w:firstLine="720"/>
        <w:jc w:val="both"/>
        <w:rPr>
          <w:rFonts w:ascii="Times New Roman" w:eastAsia="Times New Roman" w:hAnsi="Times New Roman"/>
          <w:sz w:val="24"/>
          <w:lang w:val="lv-LV" w:eastAsia="lv-LV"/>
        </w:rPr>
      </w:pPr>
    </w:p>
    <w:bookmarkEnd w:id="0"/>
    <w:bookmarkEnd w:id="1"/>
    <w:bookmarkEnd w:id="2"/>
    <w:bookmarkEnd w:id="3"/>
    <w:bookmarkEnd w:id="4"/>
    <w:bookmarkEnd w:id="5"/>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3F8E2C37" w14:textId="5DA2EEA9" w:rsidR="00AA676D" w:rsidRDefault="00AA676D" w:rsidP="00963C58">
      <w:pPr>
        <w:widowControl/>
        <w:spacing w:before="240" w:after="0" w:line="240" w:lineRule="auto"/>
        <w:jc w:val="both"/>
        <w:rPr>
          <w:rFonts w:ascii="Times New Roman" w:eastAsia="Times New Roman" w:hAnsi="Times New Roman"/>
          <w:sz w:val="24"/>
          <w:lang w:val="lv-LV" w:eastAsia="lv-LV"/>
        </w:rPr>
      </w:pPr>
      <w:r w:rsidRPr="00AA676D">
        <w:rPr>
          <w:rFonts w:ascii="Times New Roman" w:eastAsia="Times New Roman" w:hAnsi="Times New Roman"/>
          <w:sz w:val="24"/>
          <w:lang w:val="lv-LV" w:eastAsia="lv-LV"/>
        </w:rPr>
        <w:t>Saskaņā ar Patērētāju tiesību aizsardzības likuma 26.</w:t>
      </w:r>
      <w:r w:rsidRPr="006C5C28">
        <w:rPr>
          <w:rFonts w:ascii="Times New Roman" w:eastAsia="Times New Roman" w:hAnsi="Times New Roman"/>
          <w:sz w:val="24"/>
          <w:vertAlign w:val="superscript"/>
          <w:lang w:val="lv-LV" w:eastAsia="lv-LV"/>
        </w:rPr>
        <w:t>12</w:t>
      </w:r>
      <w:r w:rsidRPr="00AA676D">
        <w:rPr>
          <w:rFonts w:ascii="Times New Roman" w:eastAsia="Times New Roman" w:hAnsi="Times New Roman"/>
          <w:sz w:val="24"/>
          <w:lang w:val="lv-LV" w:eastAsia="lv-LV"/>
        </w:rPr>
        <w:t xml:space="preserve"> panta septīto daļu Komisijas lēmums ir labprātīgi izpildāms 30 dienu laikā no tā spēkā stāšanās datuma.</w:t>
      </w:r>
    </w:p>
    <w:p w14:paraId="005A690B" w14:textId="285EF00A"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D579A1" w:rsidRPr="00D579A1">
        <w:rPr>
          <w:rFonts w:ascii="Times New Roman" w:eastAsia="Times New Roman" w:hAnsi="Times New Roman"/>
          <w:sz w:val="24"/>
          <w:lang w:val="lv-LV" w:eastAsia="lv-LV"/>
        </w:rPr>
        <w:t>Edgars Puriņš</w:t>
      </w:r>
    </w:p>
    <w:p w14:paraId="72B9FE2D" w14:textId="77777777" w:rsidR="00D579A1" w:rsidRDefault="00D579A1" w:rsidP="00963C58">
      <w:pPr>
        <w:widowControl/>
        <w:tabs>
          <w:tab w:val="left" w:pos="6804"/>
        </w:tabs>
        <w:spacing w:before="360" w:after="0" w:line="240" w:lineRule="auto"/>
        <w:jc w:val="both"/>
        <w:rPr>
          <w:rFonts w:ascii="Times New Roman" w:eastAsia="Times New Roman" w:hAnsi="Times New Roman"/>
          <w:sz w:val="24"/>
          <w:lang w:val="lv-LV" w:eastAsia="lv-LV"/>
        </w:rPr>
      </w:pPr>
    </w:p>
    <w:p w14:paraId="4AF0E470" w14:textId="061056D8" w:rsidR="00D579A1" w:rsidRPr="00D579A1" w:rsidRDefault="00D579A1" w:rsidP="00D579A1">
      <w:pPr>
        <w:widowControl/>
        <w:tabs>
          <w:tab w:val="left" w:pos="6804"/>
        </w:tabs>
        <w:spacing w:before="360" w:after="0" w:line="240" w:lineRule="auto"/>
        <w:jc w:val="center"/>
        <w:rPr>
          <w:i/>
          <w:iCs/>
          <w:lang w:val="lv-LV"/>
        </w:rPr>
      </w:pPr>
      <w:r w:rsidRPr="00D579A1">
        <w:rPr>
          <w:i/>
          <w:iCs/>
          <w:lang w:val="lv-LV"/>
        </w:rPr>
        <w:t>Šis dokuments ir parakstīts ar drošu elektronisko parakstu un satur laika zīmogu.</w:t>
      </w:r>
    </w:p>
    <w:sectPr w:rsidR="00D579A1" w:rsidRPr="00D579A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4F5D8" w14:textId="77777777" w:rsidR="00496C28" w:rsidRDefault="00496C28">
      <w:pPr>
        <w:spacing w:after="0" w:line="240" w:lineRule="auto"/>
      </w:pPr>
      <w:r>
        <w:separator/>
      </w:r>
    </w:p>
  </w:endnote>
  <w:endnote w:type="continuationSeparator" w:id="0">
    <w:p w14:paraId="6B2EC419" w14:textId="77777777" w:rsidR="00496C28" w:rsidRDefault="00496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2AB00" w14:textId="77777777" w:rsidR="00496C28" w:rsidRDefault="00496C28">
      <w:pPr>
        <w:spacing w:after="0" w:line="240" w:lineRule="auto"/>
      </w:pPr>
      <w:r>
        <w:separator/>
      </w:r>
    </w:p>
  </w:footnote>
  <w:footnote w:type="continuationSeparator" w:id="0">
    <w:p w14:paraId="25B53255" w14:textId="77777777" w:rsidR="00496C28" w:rsidRDefault="00496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1D33"/>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05BD4"/>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2012"/>
    <w:rsid w:val="004637C0"/>
    <w:rsid w:val="00466C1A"/>
    <w:rsid w:val="00484A17"/>
    <w:rsid w:val="00495CCD"/>
    <w:rsid w:val="00496C28"/>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2C9A"/>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5CCA"/>
    <w:rsid w:val="00916255"/>
    <w:rsid w:val="00917A4D"/>
    <w:rsid w:val="00922593"/>
    <w:rsid w:val="00924F17"/>
    <w:rsid w:val="00930216"/>
    <w:rsid w:val="00932DC3"/>
    <w:rsid w:val="00940677"/>
    <w:rsid w:val="00945973"/>
    <w:rsid w:val="00952CD2"/>
    <w:rsid w:val="00953942"/>
    <w:rsid w:val="00961031"/>
    <w:rsid w:val="009615C6"/>
    <w:rsid w:val="009629D4"/>
    <w:rsid w:val="00962F46"/>
    <w:rsid w:val="00963C58"/>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676D"/>
    <w:rsid w:val="00AA7F6E"/>
    <w:rsid w:val="00AB7AE7"/>
    <w:rsid w:val="00AC0F80"/>
    <w:rsid w:val="00AC3043"/>
    <w:rsid w:val="00AD147F"/>
    <w:rsid w:val="00AD61DF"/>
    <w:rsid w:val="00AF411B"/>
    <w:rsid w:val="00B02035"/>
    <w:rsid w:val="00B03312"/>
    <w:rsid w:val="00B10639"/>
    <w:rsid w:val="00B15FF7"/>
    <w:rsid w:val="00B349D0"/>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5F4"/>
    <w:rsid w:val="00C32FEE"/>
    <w:rsid w:val="00C36F8C"/>
    <w:rsid w:val="00C40E61"/>
    <w:rsid w:val="00C47CC2"/>
    <w:rsid w:val="00C47F57"/>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E77A4"/>
    <w:rsid w:val="00CF26CB"/>
    <w:rsid w:val="00CF4BA9"/>
    <w:rsid w:val="00CF54A6"/>
    <w:rsid w:val="00CF57E6"/>
    <w:rsid w:val="00D0474C"/>
    <w:rsid w:val="00D04CC5"/>
    <w:rsid w:val="00D058AF"/>
    <w:rsid w:val="00D16EAA"/>
    <w:rsid w:val="00D21FA6"/>
    <w:rsid w:val="00D25C53"/>
    <w:rsid w:val="00D27900"/>
    <w:rsid w:val="00D42A58"/>
    <w:rsid w:val="00D571EC"/>
    <w:rsid w:val="00D579A1"/>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40D0D"/>
    <w:rsid w:val="00F43DEA"/>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3742</Characters>
  <Application>Microsoft Office Word</Application>
  <DocSecurity>0</DocSecurity>
  <Lines>79</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4297</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2026-04-02T10:59:00Z</dcterms:created>
  <dcterms:modified xsi:type="dcterms:W3CDTF">2026-04-02T10:59:00Z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