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6983" w14:textId="274284E0" w:rsidR="003C1D97" w:rsidRPr="003C1D97" w:rsidRDefault="00AE2392" w:rsidP="003C1D97">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34CD89E0" w14:textId="77777777" w:rsidR="003C1D97" w:rsidRPr="003C1D97" w:rsidRDefault="003C1D97" w:rsidP="003C1D97">
      <w:pPr>
        <w:widowControl/>
        <w:spacing w:after="0" w:line="240" w:lineRule="auto"/>
        <w:ind w:left="5103"/>
        <w:rPr>
          <w:rFonts w:ascii="Times New Roman" w:eastAsia="Times New Roman" w:hAnsi="Times New Roman"/>
          <w:b/>
          <w:sz w:val="24"/>
          <w:szCs w:val="24"/>
          <w:lang w:val="lv-LV"/>
        </w:rPr>
      </w:pPr>
    </w:p>
    <w:p w14:paraId="3001247F" w14:textId="18851A00" w:rsidR="003C1D97" w:rsidRPr="003C1D97" w:rsidRDefault="00AE2392" w:rsidP="003C1D97">
      <w:pPr>
        <w:widowControl/>
        <w:spacing w:after="0" w:line="240" w:lineRule="auto"/>
        <w:ind w:left="5103"/>
        <w:rPr>
          <w:rFonts w:ascii="Times New Roman" w:eastAsia="Times New Roman" w:hAnsi="Times New Roman"/>
          <w:bCs/>
          <w:sz w:val="24"/>
          <w:szCs w:val="24"/>
          <w:lang w:val="lv-LV"/>
        </w:rPr>
      </w:pPr>
      <w:r>
        <w:rPr>
          <w:rFonts w:ascii="Times New Roman" w:eastAsia="Times New Roman" w:hAnsi="Times New Roman"/>
          <w:b/>
          <w:sz w:val="24"/>
          <w:szCs w:val="24"/>
          <w:lang w:val="lv-LV"/>
        </w:rPr>
        <w:t>sabiedrība</w:t>
      </w:r>
    </w:p>
    <w:p w14:paraId="15BD4876" w14:textId="77777777" w:rsidR="003C1D97" w:rsidRDefault="003C1D97" w:rsidP="003C1D97">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7B473D47" w:rsidR="00963C58" w:rsidRDefault="007B299E"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23.03.2026.</w:t>
      </w:r>
      <w:r w:rsidR="00963C58">
        <w:rPr>
          <w:rFonts w:ascii="Times New Roman" w:eastAsia="Times New Roman" w:hAnsi="Times New Roman"/>
          <w:sz w:val="24"/>
          <w:lang w:val="lv-LV" w:eastAsia="lv-LV"/>
        </w:rPr>
        <w:tab/>
      </w:r>
      <w:r>
        <w:rPr>
          <w:rFonts w:ascii="Times New Roman" w:eastAsia="Times New Roman" w:hAnsi="Times New Roman"/>
          <w:sz w:val="24"/>
          <w:lang w:val="lv-LV" w:eastAsia="lv-LV"/>
        </w:rPr>
        <w:t xml:space="preserve">                  </w:t>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3C1D97">
        <w:rPr>
          <w:rFonts w:ascii="Times New Roman" w:eastAsia="Times New Roman" w:hAnsi="Times New Roman"/>
          <w:sz w:val="24"/>
          <w:lang w:val="lv-LV" w:eastAsia="lv-LV"/>
        </w:rPr>
        <w:t>47</w:t>
      </w:r>
      <w:r w:rsidR="00963C58">
        <w:rPr>
          <w:rFonts w:ascii="Times New Roman" w:eastAsia="Times New Roman" w:hAnsi="Times New Roman"/>
          <w:sz w:val="24"/>
          <w:lang w:val="lv-LV" w:eastAsia="lv-LV"/>
        </w:rPr>
        <w:t>-psrk</w:t>
      </w:r>
    </w:p>
    <w:p w14:paraId="76471E21"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Patērētāju strīdu risināšanas komisija (turpmāk – Komisija) šādā sastāvā:</w:t>
      </w:r>
    </w:p>
    <w:p w14:paraId="215BC3AA"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p>
    <w:p w14:paraId="586E04FB" w14:textId="11E85498"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Komisijas priekšsēdētājs</w:t>
      </w:r>
      <w:r>
        <w:rPr>
          <w:rFonts w:ascii="Times New Roman" w:eastAsia="Times New Roman" w:hAnsi="Times New Roman"/>
          <w:sz w:val="24"/>
          <w:lang w:val="lv-LV" w:eastAsia="lv-LV"/>
        </w:rPr>
        <w:t xml:space="preserve"> Edgars Puriņš</w:t>
      </w:r>
    </w:p>
    <w:p w14:paraId="721152CC" w14:textId="33CE3E1D"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 xml:space="preserve">Komisijas locekļi </w:t>
      </w:r>
      <w:r w:rsidR="004F38FE" w:rsidRPr="004F38FE">
        <w:rPr>
          <w:rFonts w:ascii="Times New Roman" w:eastAsia="Times New Roman" w:hAnsi="Times New Roman"/>
          <w:sz w:val="24"/>
          <w:lang w:val="lv-LV" w:eastAsia="lv-LV"/>
        </w:rPr>
        <w:t xml:space="preserve">Mārtiņš Kokars </w:t>
      </w:r>
      <w:r w:rsidRPr="007B299E">
        <w:rPr>
          <w:rFonts w:ascii="Times New Roman" w:eastAsia="Times New Roman" w:hAnsi="Times New Roman"/>
          <w:sz w:val="24"/>
          <w:lang w:val="lv-LV" w:eastAsia="lv-LV"/>
        </w:rPr>
        <w:t>kā patērētāju interešu pārstāvis un</w:t>
      </w:r>
      <w:r w:rsidR="004F38FE" w:rsidRPr="00AE2392">
        <w:rPr>
          <w:lang w:val="lv-LV"/>
        </w:rPr>
        <w:t xml:space="preserve"> </w:t>
      </w:r>
      <w:r w:rsidR="004F38FE" w:rsidRPr="004F38FE">
        <w:rPr>
          <w:rFonts w:ascii="Times New Roman" w:eastAsia="Times New Roman" w:hAnsi="Times New Roman"/>
          <w:sz w:val="24"/>
          <w:lang w:val="lv-LV" w:eastAsia="lv-LV"/>
        </w:rPr>
        <w:t>Māris Vovks</w:t>
      </w:r>
      <w:r w:rsidRPr="007B299E">
        <w:rPr>
          <w:rFonts w:ascii="Times New Roman" w:eastAsia="Times New Roman" w:hAnsi="Times New Roman"/>
          <w:sz w:val="24"/>
          <w:lang w:val="lv-LV" w:eastAsia="lv-LV"/>
        </w:rPr>
        <w:t xml:space="preserve"> kā komersantu interešu pārstāvis</w:t>
      </w:r>
      <w:r w:rsidR="003C1D97">
        <w:rPr>
          <w:rFonts w:ascii="Times New Roman" w:eastAsia="Times New Roman" w:hAnsi="Times New Roman"/>
          <w:sz w:val="24"/>
          <w:lang w:val="lv-LV" w:eastAsia="lv-LV"/>
        </w:rPr>
        <w:t xml:space="preserve"> </w:t>
      </w:r>
      <w:r w:rsidRPr="007B299E">
        <w:rPr>
          <w:rFonts w:ascii="Times New Roman" w:eastAsia="Times New Roman" w:hAnsi="Times New Roman"/>
          <w:sz w:val="24"/>
          <w:lang w:val="lv-LV" w:eastAsia="lv-LV"/>
        </w:rPr>
        <w:t>izskatīja strīdu starp patērētāju un sabiedrīb</w:t>
      </w:r>
      <w:r w:rsidR="00AE2392">
        <w:rPr>
          <w:rFonts w:ascii="Times New Roman" w:eastAsia="Times New Roman" w:hAnsi="Times New Roman"/>
          <w:sz w:val="24"/>
          <w:lang w:val="lv-LV" w:eastAsia="lv-LV"/>
        </w:rPr>
        <w:t>u</w:t>
      </w:r>
      <w:r w:rsidRPr="007B299E">
        <w:rPr>
          <w:rFonts w:ascii="Times New Roman" w:eastAsia="Times New Roman" w:hAnsi="Times New Roman"/>
          <w:sz w:val="24"/>
          <w:lang w:val="lv-LV" w:eastAsia="lv-LV"/>
        </w:rPr>
        <w:t xml:space="preserve"> saistībā ar preces kvalitāti.</w:t>
      </w:r>
    </w:p>
    <w:p w14:paraId="1DA25160"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p>
    <w:p w14:paraId="77188DB0"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 xml:space="preserve">No lietas materiāliem izriet, ka patērētājs 2025. gada 27. augustā sabiedrības veikalā iegādājās zāles pļāvēju SHCHEPASH TS 25‑56E, veicot par to samaksu 423,50 EUR apmērā. </w:t>
      </w:r>
      <w:r w:rsidRPr="003C1D97">
        <w:rPr>
          <w:rFonts w:ascii="Times New Roman" w:eastAsia="Times New Roman" w:hAnsi="Times New Roman"/>
          <w:sz w:val="24"/>
          <w:lang w:val="lv-LV" w:eastAsia="lv-LV"/>
        </w:rPr>
        <w:t>Divu nedēļu laikā pēc iegādes patērētājs konstatēja vairākus defektus – nedarbojās spiedpogas starteris un mehāniskais starteris.</w:t>
      </w:r>
      <w:r w:rsidRPr="007B299E">
        <w:rPr>
          <w:rFonts w:ascii="Times New Roman" w:eastAsia="Times New Roman" w:hAnsi="Times New Roman"/>
          <w:sz w:val="24"/>
          <w:lang w:val="lv-LV" w:eastAsia="lv-LV"/>
        </w:rPr>
        <w:t xml:space="preserve"> 2025. gada 10. septembrī patērētājs nodeva preci sabiedrībai, izvirzot prasību par preces maiņu vai naudas atmaksu.</w:t>
      </w:r>
    </w:p>
    <w:p w14:paraId="04009386"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p>
    <w:p w14:paraId="25283574"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Patērētājs norāda, ka pēc preces nodošanas sabiedrība ilgstoši nesniedza informāciju par preces stāvokli. Pēc aptuveni divām nedēļām patērētājs saņēma telefona zvanu, kurā tika paziņots, ka servisa centrs konstatējis mehāniskus bojājumus un piedāvā maksas remontu 120 EUR apmērā, nesniedzot detalizētu remonta pārskatu. Patērētājs maksas remontam nepiekrita. 2025. gada 14. oktobrī, ierodoties veikalā, patērētājs konstatēja, ka prece ir izjauktā stāvoklī un to nav iespējams saņemt neatkarīgai ekspertīzei. Patērētājs iesniedza rakstisku atteikumu pieņemt preci šādā stāvoklī. Patērētājs lūdz Komisiju atrisināt strīdu un izskatīt prasību par naudas atmaksu vai preces maiņu.</w:t>
      </w:r>
    </w:p>
    <w:p w14:paraId="12975858"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p>
    <w:p w14:paraId="5324DA18"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Sabiedrība lietā ir sniegusi skaidrojumu, kurā norāda, ka autorizētais servisa centrs diagnostikas laikā konstatējis mehāniskus bojājumus – uzsistu un saliektu asmeni, saliektu kloķvārpstu, izsistu ķīli spararatam un bojātu asmens adapteri. Sabiedrība uzskata, ka šie bojājumi radušies neatbilstošas ekspluatācijas rezultātā, nevis ražošanas defekta dēļ, un tādēļ garantijas remonts pamatoti atteikts. Sabiedrība norāda, ka diagnostika veikta bez maksas un patērētājam piedāvāts maksas remonts, no kura viņš atteicies. Sabiedrība noraida patērētāja prasību.</w:t>
      </w:r>
    </w:p>
    <w:p w14:paraId="47CFB86A"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p>
    <w:p w14:paraId="06E2915A"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 xml:space="preserve">Komisija, izvērtējot lietā esošos apstākļus, secina, ka preces neatbilstība atklājusies divu nedēļu laikā pēc iegādes. No PTAC 2025. gada 7. novembra vēstules izriet, ka sabiedrība nav iesniegusi pierādījumus par cēlonisko sakarību starp patērētāja norādītajiem defektiem (startera darbības traucējumiem) un servisa konstatētajiem mehāniskajiem bojājumiem. Sabiedrība nav </w:t>
      </w:r>
      <w:r w:rsidRPr="007B299E">
        <w:rPr>
          <w:rFonts w:ascii="Times New Roman" w:eastAsia="Times New Roman" w:hAnsi="Times New Roman"/>
          <w:sz w:val="24"/>
          <w:lang w:val="lv-LV" w:eastAsia="lv-LV"/>
        </w:rPr>
        <w:lastRenderedPageBreak/>
        <w:t>pierādījusi, ka prece iegādes brīdī bija līguma noteikumiem atbilstoša. Tāpat sabiedrība nav sniegusi patērētājam pilnvērtīgu rakstveida atbildi 15 darbdienu laikā, kā to nosaka likums, un prece patērētājam tika atdota izjauktā stāvoklī, kas liedza veikt neatkarīgu ekspertīzi.</w:t>
      </w:r>
    </w:p>
    <w:p w14:paraId="3CEEF12D"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p>
    <w:p w14:paraId="35A73021"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Saskaņā ar PTAL 13. panta trešo daļu, ja neatbilstība atklājas gada laikā, uzskatāms, ka tā pastāvēja jau piegādes brīdī, ja vien pārdevējs nepierāda pretējo.</w:t>
      </w:r>
    </w:p>
    <w:p w14:paraId="69EE213A"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p>
    <w:p w14:paraId="6F7D9398"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No minētā izriet, ka sabiedrība nav pierādījusi, ka konstatētie defekti nav saistīti ar preces neatbilstību līguma noteikumiem, un nav pierādījusi neatbilstības neesamību piegādes brīdī.</w:t>
      </w:r>
    </w:p>
    <w:p w14:paraId="3F943324"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p>
    <w:p w14:paraId="337ACEE9"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r w:rsidRPr="007B299E">
        <w:rPr>
          <w:rFonts w:ascii="Times New Roman" w:eastAsia="Times New Roman" w:hAnsi="Times New Roman"/>
          <w:sz w:val="24"/>
          <w:lang w:val="lv-LV" w:eastAsia="lv-LV"/>
        </w:rPr>
        <w:t>Komisija norāda, ka patērētājam ir tiesības izvirzīt prasību par preces maiņu vai naudas atmaksu, ja neatbilstība atklājas gada laikā un pārdevējs nespēj pierādīt pretējo.</w:t>
      </w:r>
    </w:p>
    <w:p w14:paraId="09608A87" w14:textId="77777777" w:rsidR="007B299E" w:rsidRPr="007B299E" w:rsidRDefault="007B299E" w:rsidP="007B299E">
      <w:pPr>
        <w:widowControl/>
        <w:spacing w:after="0" w:line="240" w:lineRule="auto"/>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118C8F74" w14:textId="6FABA9EA" w:rsidR="00963C58" w:rsidRDefault="00963C58" w:rsidP="00963C58">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1194F6B4" w14:textId="54958D8B" w:rsidR="007B299E" w:rsidRPr="007B299E" w:rsidRDefault="007B299E" w:rsidP="007B299E">
      <w:pPr>
        <w:widowControl/>
        <w:spacing w:after="0" w:line="240" w:lineRule="auto"/>
        <w:jc w:val="both"/>
        <w:rPr>
          <w:rFonts w:ascii="Times New Roman" w:eastAsia="Times New Roman" w:hAnsi="Times New Roman"/>
          <w:b/>
          <w:bCs/>
          <w:sz w:val="24"/>
          <w:lang w:val="lv-LV" w:eastAsia="lv-LV"/>
        </w:rPr>
      </w:pPr>
      <w:r w:rsidRPr="007B299E">
        <w:rPr>
          <w:rFonts w:ascii="Times New Roman" w:eastAsia="Times New Roman" w:hAnsi="Times New Roman"/>
          <w:b/>
          <w:bCs/>
          <w:sz w:val="24"/>
          <w:lang w:val="lv-LV" w:eastAsia="lv-LV"/>
        </w:rPr>
        <w:t xml:space="preserve">apmierināt </w:t>
      </w:r>
      <w:r w:rsidR="00AE2392">
        <w:rPr>
          <w:rFonts w:ascii="Times New Roman" w:eastAsia="Times New Roman" w:hAnsi="Times New Roman"/>
          <w:b/>
          <w:bCs/>
          <w:sz w:val="24"/>
          <w:lang w:val="lv-LV" w:eastAsia="lv-LV"/>
        </w:rPr>
        <w:t>patērētāja</w:t>
      </w:r>
      <w:r w:rsidRPr="007B299E">
        <w:rPr>
          <w:rFonts w:ascii="Times New Roman" w:eastAsia="Times New Roman" w:hAnsi="Times New Roman"/>
          <w:b/>
          <w:bCs/>
          <w:sz w:val="24"/>
          <w:lang w:val="lv-LV" w:eastAsia="lv-LV"/>
        </w:rPr>
        <w:t xml:space="preserve"> prasību.</w:t>
      </w:r>
    </w:p>
    <w:p w14:paraId="1AC90819" w14:textId="77777777" w:rsidR="007B299E" w:rsidRPr="007B299E" w:rsidRDefault="007B299E" w:rsidP="007B299E">
      <w:pPr>
        <w:widowControl/>
        <w:spacing w:after="0" w:line="240" w:lineRule="auto"/>
        <w:jc w:val="both"/>
        <w:rPr>
          <w:rFonts w:ascii="Times New Roman" w:eastAsia="Times New Roman" w:hAnsi="Times New Roman"/>
          <w:b/>
          <w:bCs/>
          <w:sz w:val="24"/>
          <w:lang w:val="lv-LV" w:eastAsia="lv-LV"/>
        </w:rPr>
      </w:pPr>
    </w:p>
    <w:p w14:paraId="2D485D1B" w14:textId="0863F773" w:rsidR="007B299E" w:rsidRPr="003C1D97" w:rsidRDefault="007B299E" w:rsidP="007B299E">
      <w:pPr>
        <w:widowControl/>
        <w:spacing w:after="0" w:line="240" w:lineRule="auto"/>
        <w:jc w:val="both"/>
        <w:rPr>
          <w:rFonts w:ascii="Times New Roman" w:eastAsia="Times New Roman" w:hAnsi="Times New Roman"/>
          <w:b/>
          <w:bCs/>
          <w:sz w:val="24"/>
          <w:lang w:val="lv-LV" w:eastAsia="lv-LV"/>
        </w:rPr>
      </w:pPr>
      <w:r w:rsidRPr="007B299E">
        <w:rPr>
          <w:rFonts w:ascii="Times New Roman" w:eastAsia="Times New Roman" w:hAnsi="Times New Roman"/>
          <w:b/>
          <w:bCs/>
          <w:sz w:val="24"/>
          <w:lang w:val="lv-LV" w:eastAsia="lv-LV"/>
        </w:rPr>
        <w:t xml:space="preserve">Sabiedrībai </w:t>
      </w:r>
      <w:r w:rsidR="003C1D97" w:rsidRPr="003C1D97">
        <w:rPr>
          <w:rFonts w:ascii="Times New Roman" w:eastAsia="Times New Roman" w:hAnsi="Times New Roman"/>
          <w:b/>
          <w:bCs/>
          <w:sz w:val="24"/>
          <w:lang w:val="lv-LV" w:eastAsia="lv-LV"/>
        </w:rPr>
        <w:t>apmainīt</w:t>
      </w:r>
      <w:r w:rsidR="00F52707" w:rsidRPr="003C1D97">
        <w:rPr>
          <w:rFonts w:ascii="Times New Roman" w:eastAsia="Times New Roman" w:hAnsi="Times New Roman"/>
          <w:b/>
          <w:bCs/>
          <w:sz w:val="24"/>
          <w:lang w:val="lv-LV" w:eastAsia="lv-LV"/>
        </w:rPr>
        <w:t xml:space="preserve"> </w:t>
      </w:r>
      <w:r w:rsidR="003C1D97" w:rsidRPr="003C1D97">
        <w:rPr>
          <w:rFonts w:ascii="Times New Roman" w:eastAsia="Times New Roman" w:hAnsi="Times New Roman"/>
          <w:b/>
          <w:bCs/>
          <w:sz w:val="24"/>
          <w:lang w:val="lv-LV" w:eastAsia="lv-LV"/>
        </w:rPr>
        <w:t>patērētājam preci pret līguma noteikumiem atbilstošu preci</w:t>
      </w:r>
      <w:r w:rsidR="003C1D97">
        <w:rPr>
          <w:rFonts w:ascii="Times New Roman" w:eastAsia="Times New Roman" w:hAnsi="Times New Roman"/>
          <w:b/>
          <w:bCs/>
          <w:sz w:val="24"/>
          <w:lang w:val="lv-LV" w:eastAsia="lv-LV"/>
        </w:rPr>
        <w:t>.</w:t>
      </w:r>
      <w:r w:rsidRPr="003C1D97">
        <w:rPr>
          <w:rFonts w:ascii="Times New Roman" w:eastAsia="Times New Roman" w:hAnsi="Times New Roman"/>
          <w:b/>
          <w:bCs/>
          <w:sz w:val="24"/>
          <w:lang w:val="lv-LV" w:eastAsia="lv-LV"/>
        </w:rPr>
        <w:t xml:space="preserve"> </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2A9B09FE"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7B299E" w:rsidRPr="007B299E">
        <w:rPr>
          <w:rFonts w:ascii="Times New Roman" w:eastAsia="Times New Roman" w:hAnsi="Times New Roman"/>
          <w:sz w:val="24"/>
          <w:lang w:val="lv-LV" w:eastAsia="lv-LV"/>
        </w:rPr>
        <w:t>Edgars Puriņš</w:t>
      </w:r>
    </w:p>
    <w:p w14:paraId="0B66B386" w14:textId="77777777" w:rsidR="007B299E" w:rsidRDefault="007B299E"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29CD9CAA" w14:textId="6409B98D" w:rsidR="007B299E" w:rsidRPr="007B299E" w:rsidRDefault="007B299E" w:rsidP="007B299E">
      <w:pPr>
        <w:widowControl/>
        <w:tabs>
          <w:tab w:val="left" w:pos="6804"/>
        </w:tabs>
        <w:spacing w:before="360" w:after="0" w:line="240" w:lineRule="auto"/>
        <w:jc w:val="center"/>
        <w:rPr>
          <w:i/>
          <w:iCs/>
          <w:lang w:val="lv-LV"/>
        </w:rPr>
      </w:pPr>
      <w:r w:rsidRPr="007B299E">
        <w:rPr>
          <w:i/>
          <w:iCs/>
          <w:lang w:val="lv-LV"/>
        </w:rPr>
        <w:t>Šis dokuments ir parakstīts ar drošu elektronisko parakstu un satur laika zīmogu.</w:t>
      </w:r>
    </w:p>
    <w:sectPr w:rsidR="007B299E" w:rsidRPr="007B299E"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9969" w14:textId="77777777" w:rsidR="0002079C" w:rsidRDefault="0002079C">
      <w:pPr>
        <w:spacing w:after="0" w:line="240" w:lineRule="auto"/>
      </w:pPr>
      <w:r>
        <w:separator/>
      </w:r>
    </w:p>
  </w:endnote>
  <w:endnote w:type="continuationSeparator" w:id="0">
    <w:p w14:paraId="41FD3378" w14:textId="77777777" w:rsidR="0002079C" w:rsidRDefault="0002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45C6" w14:textId="77777777" w:rsidR="0002079C" w:rsidRDefault="0002079C">
      <w:pPr>
        <w:spacing w:after="0" w:line="240" w:lineRule="auto"/>
      </w:pPr>
      <w:r>
        <w:separator/>
      </w:r>
    </w:p>
  </w:footnote>
  <w:footnote w:type="continuationSeparator" w:id="0">
    <w:p w14:paraId="3141E5BD" w14:textId="77777777" w:rsidR="0002079C" w:rsidRDefault="00020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079C"/>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1AC0"/>
    <w:rsid w:val="003B2670"/>
    <w:rsid w:val="003C1D97"/>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38FE"/>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299E"/>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E2392"/>
    <w:rsid w:val="00AF411B"/>
    <w:rsid w:val="00B02035"/>
    <w:rsid w:val="00B03312"/>
    <w:rsid w:val="00B10639"/>
    <w:rsid w:val="00B15FF7"/>
    <w:rsid w:val="00B349D0"/>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E77A4"/>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52707"/>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3749</Characters>
  <Application>Microsoft Office Word</Application>
  <DocSecurity>0</DocSecurity>
  <Lines>76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4285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2026-04-02T11:05:00Z</dcterms:created>
  <dcterms:modified xsi:type="dcterms:W3CDTF">2026-04-02T11:05:00Z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