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9A6C" w14:textId="46B2FE35" w:rsidR="007A7EFB" w:rsidRDefault="00602B38" w:rsidP="007A7EFB">
      <w:pPr>
        <w:tabs>
          <w:tab w:val="left" w:pos="3261"/>
        </w:tabs>
        <w:spacing w:after="240" w:line="240" w:lineRule="auto"/>
        <w:ind w:firstLine="5103"/>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70A33E16" w14:textId="322BAA42" w:rsidR="007A7EFB" w:rsidRDefault="007A7EFB" w:rsidP="00602B38">
      <w:pPr>
        <w:widowControl/>
        <w:suppressAutoHyphens/>
        <w:spacing w:after="0" w:line="240" w:lineRule="auto"/>
        <w:ind w:left="5040" w:firstLine="63"/>
        <w:rPr>
          <w:rFonts w:ascii="Times New Roman" w:eastAsia="Times New Roman" w:hAnsi="Times New Roman"/>
          <w:b/>
          <w:sz w:val="24"/>
          <w:szCs w:val="24"/>
          <w:lang w:val="lv-LV"/>
        </w:rPr>
      </w:pPr>
      <w:bookmarkStart w:id="2" w:name="_Hlk198814499"/>
      <w:r>
        <w:rPr>
          <w:rFonts w:ascii="Times New Roman" w:hAnsi="Times New Roman"/>
          <w:b/>
          <w:bCs/>
          <w:sz w:val="24"/>
          <w:szCs w:val="24"/>
          <w:lang w:val="lv-LV"/>
        </w:rPr>
        <w:t>Sabiedrība</w:t>
      </w:r>
      <w:bookmarkEnd w:id="2"/>
      <w:r w:rsidRPr="007A7EFB">
        <w:rPr>
          <w:rFonts w:ascii="Times New Roman" w:hAnsi="Times New Roman"/>
          <w:sz w:val="24"/>
          <w:szCs w:val="24"/>
          <w:lang w:val="lv-LV"/>
        </w:rPr>
        <w:t xml:space="preserve"> </w:t>
      </w:r>
    </w:p>
    <w:p w14:paraId="0500DE50" w14:textId="36710000" w:rsidR="00AA4274" w:rsidRPr="009B6530" w:rsidRDefault="00AA4274" w:rsidP="00920FB6">
      <w:pPr>
        <w:widowControl/>
        <w:spacing w:before="240" w:after="0" w:line="240" w:lineRule="auto"/>
        <w:ind w:firstLine="5103"/>
        <w:rPr>
          <w:rFonts w:ascii="Times New Roman" w:eastAsia="Times New Roman" w:hAnsi="Times New Roman"/>
          <w:b/>
          <w:sz w:val="24"/>
          <w:szCs w:val="24"/>
          <w:lang w:val="lv-LV"/>
        </w:rPr>
      </w:pP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29A79BFA"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3"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18781B">
        <w:rPr>
          <w:rFonts w:ascii="Times New Roman" w:eastAsia="Times New Roman" w:hAnsi="Times New Roman"/>
          <w:sz w:val="24"/>
          <w:szCs w:val="24"/>
          <w:lang w:val="lv-LV" w:eastAsia="lv-LV"/>
        </w:rPr>
        <w:t>2</w:t>
      </w:r>
      <w:r w:rsidR="007A7EFB">
        <w:rPr>
          <w:rFonts w:ascii="Times New Roman" w:eastAsia="Times New Roman" w:hAnsi="Times New Roman"/>
          <w:sz w:val="24"/>
          <w:szCs w:val="24"/>
          <w:lang w:val="lv-LV" w:eastAsia="lv-LV"/>
        </w:rPr>
        <w:t>6</w:t>
      </w:r>
      <w:r w:rsidR="0018781B">
        <w:rPr>
          <w:rFonts w:ascii="Times New Roman" w:eastAsia="Times New Roman" w:hAnsi="Times New Roman"/>
          <w:sz w:val="24"/>
          <w:szCs w:val="24"/>
          <w:lang w:val="lv-LV" w:eastAsia="lv-LV"/>
        </w:rPr>
        <w:t>.martā</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072144" w:rsidRPr="00072144">
        <w:rPr>
          <w:rFonts w:ascii="Times New Roman" w:eastAsia="Times New Roman" w:hAnsi="Times New Roman"/>
          <w:sz w:val="24"/>
          <w:szCs w:val="24"/>
          <w:lang w:val="lv-LV" w:eastAsia="lv-LV"/>
        </w:rPr>
        <w:t>2026/</w:t>
      </w:r>
      <w:r w:rsidR="007A7EFB">
        <w:rPr>
          <w:rFonts w:ascii="Times New Roman" w:eastAsia="Times New Roman" w:hAnsi="Times New Roman"/>
          <w:sz w:val="24"/>
          <w:szCs w:val="24"/>
          <w:lang w:val="lv-LV" w:eastAsia="lv-LV"/>
        </w:rPr>
        <w:t>50</w:t>
      </w:r>
      <w:r w:rsidR="00072144" w:rsidRPr="00072144">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3"/>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06684FB8" w:rsidR="009A0EE8" w:rsidRDefault="007A7EFB" w:rsidP="00086C17">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 xml:space="preserve">omisijas loceklis Gints Kļaviņš kā patērētāju interešu pārstāvis un komisijas loceklis Uģis </w:t>
      </w:r>
      <w:proofErr w:type="spellStart"/>
      <w:r w:rsidRPr="007A7EFB">
        <w:rPr>
          <w:rFonts w:ascii="Times New Roman" w:eastAsia="Times New Roman" w:hAnsi="Times New Roman"/>
          <w:sz w:val="24"/>
          <w:szCs w:val="24"/>
          <w:lang w:val="lv-LV" w:eastAsia="lv-LV"/>
        </w:rPr>
        <w:t>Lielturks</w:t>
      </w:r>
      <w:proofErr w:type="spellEnd"/>
      <w:r w:rsidRPr="007A7EFB">
        <w:rPr>
          <w:rFonts w:ascii="Times New Roman" w:eastAsia="Times New Roman" w:hAnsi="Times New Roman"/>
          <w:sz w:val="24"/>
          <w:szCs w:val="24"/>
          <w:lang w:val="lv-LV" w:eastAsia="lv-LV"/>
        </w:rPr>
        <w:t xml:space="preserve"> kā komersantu interešu pārstāvis, izskatīja rakstveida procesā strīdu starp patērētāj</w:t>
      </w:r>
      <w:r w:rsidR="00602B38">
        <w:rPr>
          <w:rFonts w:ascii="Times New Roman" w:eastAsia="Times New Roman" w:hAnsi="Times New Roman"/>
          <w:sz w:val="24"/>
          <w:szCs w:val="24"/>
          <w:lang w:val="lv-LV" w:eastAsia="lv-LV"/>
        </w:rPr>
        <w:t>u</w:t>
      </w:r>
      <w:r w:rsidRPr="007A7EFB">
        <w:rPr>
          <w:rFonts w:ascii="Times New Roman" w:eastAsia="Times New Roman" w:hAnsi="Times New Roman"/>
          <w:sz w:val="24"/>
          <w:szCs w:val="24"/>
          <w:lang w:val="lv-LV" w:eastAsia="lv-LV"/>
        </w:rPr>
        <w:t xml:space="preserve"> un </w:t>
      </w:r>
      <w:proofErr w:type="spellStart"/>
      <w:r w:rsidRPr="007A7EFB">
        <w:rPr>
          <w:rFonts w:ascii="Times New Roman" w:eastAsia="Times New Roman" w:hAnsi="Times New Roman"/>
          <w:sz w:val="24"/>
          <w:szCs w:val="24"/>
          <w:lang w:val="lv-LV" w:eastAsia="lv-LV"/>
        </w:rPr>
        <w:t>sabiedrīb</w:t>
      </w:r>
      <w:proofErr w:type="spellEnd"/>
      <w:r w:rsidRPr="007A7EFB">
        <w:rPr>
          <w:rFonts w:ascii="Times New Roman" w:eastAsia="Times New Roman" w:hAnsi="Times New Roman"/>
          <w:sz w:val="24"/>
          <w:szCs w:val="24"/>
          <w:lang w:val="lv-LV" w:eastAsia="lv-LV"/>
        </w:rPr>
        <w:t xml:space="preserve"> par mobilā telefona </w:t>
      </w:r>
      <w:proofErr w:type="spellStart"/>
      <w:r w:rsidRPr="007A7EFB">
        <w:rPr>
          <w:rFonts w:ascii="Times New Roman" w:eastAsia="Times New Roman" w:hAnsi="Times New Roman"/>
          <w:sz w:val="24"/>
          <w:szCs w:val="24"/>
          <w:lang w:val="lv-LV" w:eastAsia="lv-LV"/>
        </w:rPr>
        <w:t>Poco</w:t>
      </w:r>
      <w:proofErr w:type="spellEnd"/>
      <w:r w:rsidRPr="007A7EFB">
        <w:rPr>
          <w:rFonts w:ascii="Times New Roman" w:eastAsia="Times New Roman" w:hAnsi="Times New Roman"/>
          <w:sz w:val="24"/>
          <w:szCs w:val="24"/>
          <w:lang w:val="lv-LV" w:eastAsia="lv-LV"/>
        </w:rPr>
        <w:t xml:space="preserve"> X7 </w:t>
      </w:r>
      <w:proofErr w:type="spellStart"/>
      <w:r w:rsidRPr="007A7EFB">
        <w:rPr>
          <w:rFonts w:ascii="Times New Roman" w:eastAsia="Times New Roman" w:hAnsi="Times New Roman"/>
          <w:sz w:val="24"/>
          <w:szCs w:val="24"/>
          <w:lang w:val="lv-LV" w:eastAsia="lv-LV"/>
        </w:rPr>
        <w:t>Pro</w:t>
      </w:r>
      <w:proofErr w:type="spellEnd"/>
      <w:r w:rsidRPr="007A7EFB">
        <w:rPr>
          <w:rFonts w:ascii="Times New Roman" w:eastAsia="Times New Roman" w:hAnsi="Times New Roman"/>
          <w:sz w:val="24"/>
          <w:szCs w:val="24"/>
          <w:lang w:val="lv-LV" w:eastAsia="lv-LV"/>
        </w:rPr>
        <w:t xml:space="preserve"> atbilstību līguma noteikumiem.</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686F345B" w14:textId="295D8AAB" w:rsidR="00086C17" w:rsidRPr="00086C17" w:rsidRDefault="00A22C53" w:rsidP="00A22C53">
      <w:pPr>
        <w:widowControl/>
        <w:spacing w:after="0" w:line="240" w:lineRule="auto"/>
        <w:ind w:firstLine="720"/>
        <w:jc w:val="both"/>
        <w:rPr>
          <w:rFonts w:ascii="Times New Roman" w:eastAsia="Times New Roman" w:hAnsi="Times New Roman"/>
          <w:sz w:val="24"/>
          <w:szCs w:val="24"/>
          <w:lang w:val="lv-LV" w:eastAsia="lv-LV"/>
        </w:rPr>
      </w:pPr>
      <w:r w:rsidRPr="00A22C53">
        <w:rPr>
          <w:rFonts w:ascii="Times New Roman" w:eastAsia="Times New Roman" w:hAnsi="Times New Roman"/>
          <w:sz w:val="24"/>
          <w:szCs w:val="24"/>
          <w:lang w:val="lv-LV" w:eastAsia="lv-LV"/>
        </w:rPr>
        <w:t xml:space="preserve">No lietā esošajiem materiāliem izriet, ka patērētājs 2025. gada 16. martā sabiedrības veikalā iegādājās mobilo telefonu </w:t>
      </w:r>
      <w:proofErr w:type="spellStart"/>
      <w:r w:rsidRPr="00A22C53">
        <w:rPr>
          <w:rFonts w:ascii="Times New Roman" w:eastAsia="Times New Roman" w:hAnsi="Times New Roman"/>
          <w:sz w:val="24"/>
          <w:szCs w:val="24"/>
          <w:lang w:val="lv-LV" w:eastAsia="lv-LV"/>
        </w:rPr>
        <w:t>Poco</w:t>
      </w:r>
      <w:proofErr w:type="spellEnd"/>
      <w:r w:rsidRPr="00A22C53">
        <w:rPr>
          <w:rFonts w:ascii="Times New Roman" w:eastAsia="Times New Roman" w:hAnsi="Times New Roman"/>
          <w:sz w:val="24"/>
          <w:szCs w:val="24"/>
          <w:lang w:val="lv-LV" w:eastAsia="lv-LV"/>
        </w:rPr>
        <w:t xml:space="preserve"> X7 </w:t>
      </w:r>
      <w:proofErr w:type="spellStart"/>
      <w:r w:rsidRPr="00A22C53">
        <w:rPr>
          <w:rFonts w:ascii="Times New Roman" w:eastAsia="Times New Roman" w:hAnsi="Times New Roman"/>
          <w:sz w:val="24"/>
          <w:szCs w:val="24"/>
          <w:lang w:val="lv-LV" w:eastAsia="lv-LV"/>
        </w:rPr>
        <w:t>Pro</w:t>
      </w:r>
      <w:proofErr w:type="spellEnd"/>
      <w:r w:rsidRPr="00A22C53">
        <w:rPr>
          <w:rFonts w:ascii="Times New Roman" w:eastAsia="Times New Roman" w:hAnsi="Times New Roman"/>
          <w:sz w:val="24"/>
          <w:szCs w:val="24"/>
          <w:lang w:val="lv-LV" w:eastAsia="lv-LV"/>
        </w:rPr>
        <w:t>. Patērētājs norāda, ka mobilais telefons vairākkārt bijis nodots garantijas remontam ar vienādām sūdzībām par ierīces uzkaršanu, ātru izlādēšanos, lēnu uzlādi un problēmām pēc SIM kartes ievietošanas. Patērētājs norāda, ka pēc trešā remonta ierīce nekavējoties uzkarst un nav lietojama, tādēļ prasīja sabiedrībai nodrošināt mobilā telefona maiņu vai atgriezt samaksāto naudu. Sabiedrība 2025. gada 26. augustā sniedza atbildi, kurā informēja, ka maiņa vai naudas atmaksa ir iespējama tikai gadījumā, ja ir konstatēts ražošanas defekts, taču autorizētā servisa centrā bojājumi nav konstatēti. Patērētājs vērsās Komisijā, lūdzot izskatīt strīdu pēc būtības</w:t>
      </w:r>
      <w:r w:rsidR="00086C17" w:rsidRPr="00086C17">
        <w:rPr>
          <w:rFonts w:ascii="Times New Roman" w:eastAsia="Times New Roman" w:hAnsi="Times New Roman"/>
          <w:sz w:val="24"/>
          <w:szCs w:val="24"/>
          <w:lang w:val="lv-LV" w:eastAsia="lv-LV"/>
        </w:rPr>
        <w:t xml:space="preserve">. </w:t>
      </w:r>
    </w:p>
    <w:p w14:paraId="0D3865B2" w14:textId="038E0B8B" w:rsidR="00086C17" w:rsidRPr="00086C17" w:rsidRDefault="00A22C53" w:rsidP="00A22C53">
      <w:pPr>
        <w:widowControl/>
        <w:spacing w:after="0" w:line="240" w:lineRule="auto"/>
        <w:ind w:firstLine="720"/>
        <w:jc w:val="both"/>
        <w:rPr>
          <w:rFonts w:ascii="Times New Roman" w:eastAsia="Times New Roman" w:hAnsi="Times New Roman"/>
          <w:sz w:val="24"/>
          <w:szCs w:val="24"/>
          <w:lang w:val="lv-LV" w:eastAsia="lv-LV"/>
        </w:rPr>
      </w:pPr>
      <w:r w:rsidRPr="00A22C53">
        <w:rPr>
          <w:rFonts w:ascii="Times New Roman" w:eastAsia="Times New Roman" w:hAnsi="Times New Roman"/>
          <w:sz w:val="24"/>
          <w:szCs w:val="24"/>
          <w:lang w:val="lv-LV" w:eastAsia="lv-LV"/>
        </w:rPr>
        <w:t>Sabiedrības sniegtajā skaidrojumā norādīts, ka ierīce trīs reizes nodota ražotāja autorizētajā servisa centrā, kur katru reizi veikta pilna diagnostika, tai skaitā: pilna datu dzēšana, programmatūras atjaunināšana, rūpnīcas iestatījumu atjaunošana, ierīces testēšana saskaņā ar ražotāja testēšanas protokoliem, akumulatora un temperatūras testēšana, zvanu un fona procesu novērtēšana. Servisa centrs ne reizi nav konstatējis ražošanas defektu vai neatbilstību ražotāja tehniskajai specifikācijai. Sabiedrība norāda, ka ierīces īpašības var ietekmēt ārējie apstākļi un lietotāja aktivitātes – trešo pušu lietotnes, sinhronizācija, vāja tīkla zona, fona procesi, neatbilstoši lādētāji. Sabiedrība secina, ka nav pamata uzskatīt, ka ierīcei ir ražošanas defekts</w:t>
      </w:r>
      <w:r w:rsidR="00086C17" w:rsidRPr="00086C17">
        <w:rPr>
          <w:rFonts w:ascii="Times New Roman" w:eastAsia="Times New Roman" w:hAnsi="Times New Roman"/>
          <w:sz w:val="24"/>
          <w:szCs w:val="24"/>
          <w:lang w:val="lv-LV" w:eastAsia="lv-LV"/>
        </w:rPr>
        <w:t xml:space="preserve">. </w:t>
      </w:r>
    </w:p>
    <w:p w14:paraId="6FAAC856" w14:textId="5C61626C" w:rsidR="004E718F" w:rsidRPr="006C35DB" w:rsidRDefault="006C35DB" w:rsidP="00086C17">
      <w:pPr>
        <w:widowControl/>
        <w:spacing w:after="0" w:line="240" w:lineRule="auto"/>
        <w:ind w:firstLine="720"/>
        <w:jc w:val="both"/>
        <w:rPr>
          <w:rFonts w:ascii="Times New Roman" w:eastAsia="Times New Roman" w:hAnsi="Times New Roman"/>
          <w:sz w:val="24"/>
          <w:szCs w:val="24"/>
          <w:lang w:val="lv-LV" w:eastAsia="lv-LV"/>
        </w:rPr>
      </w:pPr>
      <w:r w:rsidRPr="006C35DB">
        <w:rPr>
          <w:rFonts w:ascii="Times New Roman" w:eastAsia="Times New Roman" w:hAnsi="Times New Roman"/>
          <w:sz w:val="24"/>
          <w:szCs w:val="24"/>
          <w:lang w:val="lv-LV" w:eastAsia="lv-LV"/>
        </w:rPr>
        <w:t xml:space="preserve">Komisija norāda, ka saskaņā ar Patērētāju tiesību aizsardzības likuma (turpmāk </w:t>
      </w:r>
      <w:r w:rsidR="00772A54">
        <w:rPr>
          <w:rFonts w:ascii="Times New Roman" w:eastAsia="Times New Roman" w:hAnsi="Times New Roman"/>
          <w:sz w:val="24"/>
          <w:szCs w:val="24"/>
          <w:lang w:val="lv-LV" w:eastAsia="lv-LV"/>
        </w:rPr>
        <w:t>-</w:t>
      </w:r>
      <w:r w:rsidRPr="006C35DB">
        <w:rPr>
          <w:rFonts w:ascii="Times New Roman" w:eastAsia="Times New Roman" w:hAnsi="Times New Roman"/>
          <w:sz w:val="24"/>
          <w:szCs w:val="24"/>
          <w:lang w:val="lv-LV" w:eastAsia="lv-LV"/>
        </w:rPr>
        <w:t xml:space="preserve"> PTAL)</w:t>
      </w:r>
      <w:r>
        <w:rPr>
          <w:rFonts w:ascii="Times New Roman" w:eastAsia="Times New Roman" w:hAnsi="Times New Roman"/>
          <w:sz w:val="24"/>
          <w:szCs w:val="24"/>
          <w:lang w:val="lv-LV" w:eastAsia="lv-LV"/>
        </w:rPr>
        <w:t xml:space="preserve"> </w:t>
      </w:r>
      <w:r w:rsidRPr="006C35DB">
        <w:rPr>
          <w:rFonts w:ascii="Times New Roman" w:eastAsia="Times New Roman" w:hAnsi="Times New Roman"/>
          <w:sz w:val="24"/>
          <w:szCs w:val="24"/>
          <w:lang w:val="lv-LV" w:eastAsia="lv-LV"/>
        </w:rPr>
        <w:t>13. panta pirmo un otro daļu pārdevējam ir pienākums nodrošināt preces atbilstību līguma noteikumiem, un pārdevējs ir atbildīgs par jebkuru neatbilstību, kas pastāvējusi preces piegādes brīdī un atklājas divu gadu laikā no piegādes dienas. Atbilstība vērtējama, ņemot vērā preces spēju pildīt tai paredzēto funkciju un atbilstību ražotāja noteiktajiem tehniskajiem parametriem. Savukārt saskaņā ar PTAL 28. panta piekto daļu patērētājam ir tiesības prasīt līguma atcelšanu vai samaksātās naudas atmaksu, ja ir konstatēta neatbilstība un tā nav novērsta saprātīgā termiņā, tādēļ šādu tiesību izmantošana ir atkarīga no neatbilstības esamības un tās novēršanas rezultāta konkrētajā lietā.</w:t>
      </w:r>
    </w:p>
    <w:p w14:paraId="7DC4B542" w14:textId="1F09AC84" w:rsidR="007C6986" w:rsidRDefault="006C35DB" w:rsidP="00086C17">
      <w:pPr>
        <w:widowControl/>
        <w:spacing w:after="0" w:line="240" w:lineRule="auto"/>
        <w:ind w:firstLine="720"/>
        <w:jc w:val="both"/>
        <w:rPr>
          <w:rFonts w:ascii="Times New Roman" w:eastAsia="Times New Roman" w:hAnsi="Times New Roman"/>
          <w:sz w:val="24"/>
          <w:szCs w:val="24"/>
          <w:lang w:val="lv-LV" w:eastAsia="lv-LV"/>
        </w:rPr>
      </w:pPr>
      <w:r w:rsidRPr="006C35DB">
        <w:rPr>
          <w:rFonts w:ascii="Times New Roman" w:eastAsia="Times New Roman" w:hAnsi="Times New Roman"/>
          <w:sz w:val="24"/>
          <w:szCs w:val="24"/>
          <w:lang w:val="lv-LV" w:eastAsia="lv-LV"/>
        </w:rPr>
        <w:lastRenderedPageBreak/>
        <w:t>Komisija, vispusīgi un objektīvi izvērtējot lietā esošos pierādījumus, secina, ka lietā nav konstatējami fakti, kas apliecinātu preces neatbilstību līguma noteikumiem PTAL izpratnē. Autorizētais servisa centrs trīs reizes ir veicis pilnu ierīces diagnostiku, izmantojot ražotāja noteiktās testēšanas procedūras, un nevienā gadījumā nav konstatējis novirzes no ražotāja tehniskajām specifikācijām vai darbības parametriem. Līdz ar to objektīvi nav apstiprināta ierīces konstrukcijas vai darbības neatbilstība. Komisija ņem vērā, ka patērētāja norādītās pazīmes, tostarp ierīces uzkaršana, akumulatora darbības ilgums un uzlādes ātrums, var būt atkarīgas no lietošanas intensitātes, instalētajām lietotnēm, fona procesiem, tīkla kvalitātes un izmantotajiem piederumiem, un šādi faktori paši par sevi neliecina par preces neatbilstību. Lietā nav iegūti pierādījumi, kas ļautu secināt, ka konstatējamās pazīmes izriet no preces īpašībām, kas pastāvējušas piegādes brīdī. Patērētājs nav iesniedzis neatkarīgus vai tehniski pamatotus pierādījumus, kas apgāztu servisa centra secinājumus. Šādos apstākļos Komisija atzīst sabiedrības iesniegtos pierādījumus par pietiekamiem un savstarpēji saskanīgiem un secina, ka patērētāja prasība nav pamatota</w:t>
      </w:r>
      <w:r w:rsidR="00A22C53" w:rsidRPr="00A22C53">
        <w:rPr>
          <w:rFonts w:ascii="Times New Roman" w:eastAsia="Times New Roman" w:hAnsi="Times New Roman"/>
          <w:sz w:val="24"/>
          <w:szCs w:val="24"/>
          <w:lang w:val="lv-LV" w:eastAsia="lv-LV"/>
        </w:rPr>
        <w:t>.</w:t>
      </w:r>
    </w:p>
    <w:p w14:paraId="73A2EF05" w14:textId="679FEFF0" w:rsidR="0018781B" w:rsidRDefault="00086C17" w:rsidP="00086C17">
      <w:pPr>
        <w:widowControl/>
        <w:spacing w:after="0" w:line="240" w:lineRule="auto"/>
        <w:ind w:firstLine="720"/>
        <w:jc w:val="both"/>
        <w:rPr>
          <w:rFonts w:ascii="Times New Roman" w:eastAsia="Times New Roman" w:hAnsi="Times New Roman"/>
          <w:sz w:val="24"/>
          <w:szCs w:val="24"/>
          <w:lang w:val="lv-LV" w:eastAsia="lv-LV"/>
        </w:rPr>
      </w:pPr>
      <w:r w:rsidRPr="00086C17">
        <w:rPr>
          <w:rFonts w:ascii="Times New Roman" w:eastAsia="Times New Roman" w:hAnsi="Times New Roman"/>
          <w:sz w:val="24"/>
          <w:szCs w:val="24"/>
          <w:lang w:val="lv-LV" w:eastAsia="lv-LV"/>
        </w:rPr>
        <w:t>Ņemot vērā minēto, Komisija, pamatojoties uz Patērētāju tiesību aizsardzības likuma 26.</w:t>
      </w:r>
      <w:r w:rsidRPr="004E718F">
        <w:rPr>
          <w:rFonts w:ascii="Times New Roman" w:eastAsia="Times New Roman" w:hAnsi="Times New Roman"/>
          <w:sz w:val="24"/>
          <w:szCs w:val="24"/>
          <w:vertAlign w:val="superscript"/>
          <w:lang w:val="lv-LV" w:eastAsia="lv-LV"/>
        </w:rPr>
        <w:t>3</w:t>
      </w:r>
      <w:r w:rsidRPr="00086C17">
        <w:rPr>
          <w:rFonts w:ascii="Times New Roman" w:eastAsia="Times New Roman" w:hAnsi="Times New Roman"/>
          <w:sz w:val="24"/>
          <w:szCs w:val="24"/>
          <w:lang w:val="lv-LV" w:eastAsia="lv-LV"/>
        </w:rPr>
        <w:t xml:space="preserve"> panta pirmo daļu, piektās daļas 9. punktu, 26.</w:t>
      </w:r>
      <w:r w:rsidRPr="004E718F">
        <w:rPr>
          <w:rFonts w:ascii="Times New Roman" w:eastAsia="Times New Roman" w:hAnsi="Times New Roman"/>
          <w:sz w:val="24"/>
          <w:szCs w:val="24"/>
          <w:vertAlign w:val="superscript"/>
          <w:lang w:val="lv-LV" w:eastAsia="lv-LV"/>
        </w:rPr>
        <w:t>4</w:t>
      </w:r>
      <w:r w:rsidRPr="00086C17">
        <w:rPr>
          <w:rFonts w:ascii="Times New Roman" w:eastAsia="Times New Roman" w:hAnsi="Times New Roman"/>
          <w:sz w:val="24"/>
          <w:szCs w:val="24"/>
          <w:lang w:val="lv-LV" w:eastAsia="lv-LV"/>
        </w:rPr>
        <w:t xml:space="preserve"> panta pirmo un otro daļu un 26.</w:t>
      </w:r>
      <w:r w:rsidRPr="004E718F">
        <w:rPr>
          <w:rFonts w:ascii="Times New Roman" w:eastAsia="Times New Roman" w:hAnsi="Times New Roman"/>
          <w:sz w:val="24"/>
          <w:szCs w:val="24"/>
          <w:vertAlign w:val="superscript"/>
          <w:lang w:val="lv-LV" w:eastAsia="lv-LV"/>
        </w:rPr>
        <w:t>11</w:t>
      </w:r>
      <w:r w:rsidRPr="00086C17">
        <w:rPr>
          <w:rFonts w:ascii="Times New Roman" w:eastAsia="Times New Roman" w:hAnsi="Times New Roman"/>
          <w:sz w:val="24"/>
          <w:szCs w:val="24"/>
          <w:lang w:val="lv-LV" w:eastAsia="lv-LV"/>
        </w:rPr>
        <w:t xml:space="preserve"> panta pirmo daļu</w:t>
      </w:r>
      <w:r w:rsidR="0018781B" w:rsidRPr="0018781B">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6E4CE883" w14:textId="2C6F533C" w:rsidR="006261E2" w:rsidRPr="006261E2" w:rsidRDefault="006261E2" w:rsidP="006261E2">
      <w:pPr>
        <w:widowControl/>
        <w:spacing w:after="0" w:line="240" w:lineRule="auto"/>
        <w:jc w:val="both"/>
        <w:rPr>
          <w:rFonts w:ascii="Times New Roman" w:eastAsia="Times New Roman" w:hAnsi="Times New Roman"/>
          <w:sz w:val="24"/>
          <w:szCs w:val="24"/>
          <w:lang w:val="lv-LV" w:eastAsia="lv-LV"/>
        </w:rPr>
      </w:pPr>
      <w:r w:rsidRPr="006261E2">
        <w:rPr>
          <w:rFonts w:ascii="Times New Roman" w:eastAsia="Times New Roman" w:hAnsi="Times New Roman"/>
          <w:sz w:val="24"/>
          <w:szCs w:val="24"/>
          <w:lang w:val="lv-LV" w:eastAsia="lv-LV"/>
        </w:rPr>
        <w:t xml:space="preserve">noraidīt </w:t>
      </w:r>
      <w:r w:rsidR="00602B38">
        <w:rPr>
          <w:rFonts w:ascii="Times New Roman" w:eastAsia="Times New Roman" w:hAnsi="Times New Roman"/>
          <w:sz w:val="24"/>
          <w:szCs w:val="24"/>
          <w:lang w:val="lv-LV" w:eastAsia="lv-LV"/>
        </w:rPr>
        <w:t>patērētājas</w:t>
      </w:r>
      <w:r w:rsidR="00A22C53">
        <w:rPr>
          <w:rFonts w:ascii="Times New Roman" w:eastAsia="Times New Roman" w:hAnsi="Times New Roman"/>
          <w:sz w:val="24"/>
          <w:szCs w:val="24"/>
          <w:lang w:val="lv-LV" w:eastAsia="lv-LV"/>
        </w:rPr>
        <w:t xml:space="preserve"> </w:t>
      </w:r>
      <w:r w:rsidRPr="006261E2">
        <w:rPr>
          <w:rFonts w:ascii="Times New Roman" w:eastAsia="Times New Roman" w:hAnsi="Times New Roman"/>
          <w:sz w:val="24"/>
          <w:szCs w:val="24"/>
          <w:lang w:val="lv-LV" w:eastAsia="lv-LV"/>
        </w:rPr>
        <w:t>prasību.</w:t>
      </w:r>
    </w:p>
    <w:p w14:paraId="68A1F4E5" w14:textId="77777777" w:rsidR="007944A3" w:rsidRPr="00920FB6" w:rsidRDefault="007944A3" w:rsidP="009A0EE8">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Pr="009B6530"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FB7F" w14:textId="77777777" w:rsidR="006D3DB3" w:rsidRDefault="006D3DB3">
      <w:pPr>
        <w:spacing w:after="0" w:line="240" w:lineRule="auto"/>
      </w:pPr>
      <w:r>
        <w:separator/>
      </w:r>
    </w:p>
  </w:endnote>
  <w:endnote w:type="continuationSeparator" w:id="0">
    <w:p w14:paraId="25801784" w14:textId="77777777" w:rsidR="006D3DB3" w:rsidRDefault="006D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78D2" w14:textId="77777777" w:rsidR="006D3DB3" w:rsidRDefault="006D3DB3">
      <w:pPr>
        <w:spacing w:after="0" w:line="240" w:lineRule="auto"/>
      </w:pPr>
      <w:r>
        <w:separator/>
      </w:r>
    </w:p>
  </w:footnote>
  <w:footnote w:type="continuationSeparator" w:id="0">
    <w:p w14:paraId="30536C84" w14:textId="77777777" w:rsidR="006D3DB3" w:rsidRDefault="006D3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67ADA"/>
    <w:rsid w:val="002723AF"/>
    <w:rsid w:val="00274BD5"/>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1542"/>
    <w:rsid w:val="002F7939"/>
    <w:rsid w:val="00300431"/>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1424"/>
    <w:rsid w:val="003B2670"/>
    <w:rsid w:val="003C1EAB"/>
    <w:rsid w:val="003C2D40"/>
    <w:rsid w:val="003C33D7"/>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38DB"/>
    <w:rsid w:val="005D1806"/>
    <w:rsid w:val="005E3C4E"/>
    <w:rsid w:val="005F4721"/>
    <w:rsid w:val="005F52B8"/>
    <w:rsid w:val="005F6E4F"/>
    <w:rsid w:val="00602B38"/>
    <w:rsid w:val="006035C1"/>
    <w:rsid w:val="00603C05"/>
    <w:rsid w:val="00604158"/>
    <w:rsid w:val="006058AE"/>
    <w:rsid w:val="006068AA"/>
    <w:rsid w:val="00612FB3"/>
    <w:rsid w:val="006164FC"/>
    <w:rsid w:val="006261E2"/>
    <w:rsid w:val="006367A2"/>
    <w:rsid w:val="006456B7"/>
    <w:rsid w:val="00653061"/>
    <w:rsid w:val="00663C3A"/>
    <w:rsid w:val="006877E8"/>
    <w:rsid w:val="0069116F"/>
    <w:rsid w:val="006965CA"/>
    <w:rsid w:val="006A0CC6"/>
    <w:rsid w:val="006A2252"/>
    <w:rsid w:val="006A7C56"/>
    <w:rsid w:val="006B6EC4"/>
    <w:rsid w:val="006C2746"/>
    <w:rsid w:val="006C35DB"/>
    <w:rsid w:val="006D21B8"/>
    <w:rsid w:val="006D3DB3"/>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2A54"/>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F411B"/>
    <w:rsid w:val="00B02035"/>
    <w:rsid w:val="00B03312"/>
    <w:rsid w:val="00B04C3E"/>
    <w:rsid w:val="00B10639"/>
    <w:rsid w:val="00B15FF7"/>
    <w:rsid w:val="00B349D0"/>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C07C89"/>
    <w:rsid w:val="00C14592"/>
    <w:rsid w:val="00C17432"/>
    <w:rsid w:val="00C21DDD"/>
    <w:rsid w:val="00C2214B"/>
    <w:rsid w:val="00C225F4"/>
    <w:rsid w:val="00C32FEE"/>
    <w:rsid w:val="00C33E92"/>
    <w:rsid w:val="00C36F8C"/>
    <w:rsid w:val="00C40E61"/>
    <w:rsid w:val="00C47CC2"/>
    <w:rsid w:val="00C47F57"/>
    <w:rsid w:val="00C6438B"/>
    <w:rsid w:val="00C65592"/>
    <w:rsid w:val="00C65DF1"/>
    <w:rsid w:val="00C67FA0"/>
    <w:rsid w:val="00C87D32"/>
    <w:rsid w:val="00C90972"/>
    <w:rsid w:val="00C90C7A"/>
    <w:rsid w:val="00C9168E"/>
    <w:rsid w:val="00C919E2"/>
    <w:rsid w:val="00C92D70"/>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2629"/>
    <w:rsid w:val="00F146B6"/>
    <w:rsid w:val="00F1681E"/>
    <w:rsid w:val="00F3541E"/>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3948</Characters>
  <Application>Microsoft Office Word</Application>
  <DocSecurity>0</DocSecurity>
  <Lines>64</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4510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2026-04-02T11:38:00Z</dcterms:created>
  <dcterms:modified xsi:type="dcterms:W3CDTF">2026-04-02T11:38:00Z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