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0FA7" w14:textId="77777777" w:rsidR="00CB4362" w:rsidRDefault="00CB4362" w:rsidP="00AA606C">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p>
    <w:p w14:paraId="7B3042E6" w14:textId="142F118D" w:rsidR="00CB4362" w:rsidRPr="00CB4362" w:rsidRDefault="000276FC" w:rsidP="00CB4362">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patērētāja</w:t>
      </w:r>
    </w:p>
    <w:p w14:paraId="0583591C" w14:textId="77777777" w:rsidR="00CB4362" w:rsidRPr="00CB4362" w:rsidRDefault="00CB4362" w:rsidP="00CB4362">
      <w:pPr>
        <w:widowControl/>
        <w:spacing w:after="0" w:line="240" w:lineRule="auto"/>
        <w:ind w:left="5103"/>
        <w:rPr>
          <w:rFonts w:ascii="Times New Roman" w:eastAsia="Times New Roman" w:hAnsi="Times New Roman"/>
          <w:b/>
          <w:sz w:val="24"/>
          <w:szCs w:val="24"/>
          <w:lang w:val="lv-LV"/>
        </w:rPr>
      </w:pPr>
    </w:p>
    <w:p w14:paraId="783D2A28" w14:textId="27B2FAB0" w:rsidR="00CB4362" w:rsidRDefault="000276FC" w:rsidP="00CB4362">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26B7760C" w14:textId="77777777" w:rsidR="00CB4362" w:rsidRDefault="00CB4362" w:rsidP="00AA606C">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1EDF05CC" w:rsidR="00963C58" w:rsidRDefault="00AA606C"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CB4362">
        <w:rPr>
          <w:rFonts w:ascii="Times New Roman" w:eastAsia="Times New Roman" w:hAnsi="Times New Roman"/>
          <w:sz w:val="24"/>
          <w:lang w:val="lv-LV" w:eastAsia="lv-LV"/>
        </w:rPr>
        <w:t>58</w:t>
      </w:r>
      <w:r w:rsidR="00963C58">
        <w:rPr>
          <w:rFonts w:ascii="Times New Roman" w:eastAsia="Times New Roman" w:hAnsi="Times New Roman"/>
          <w:sz w:val="24"/>
          <w:lang w:val="lv-LV" w:eastAsia="lv-LV"/>
        </w:rPr>
        <w:t>-psrk</w:t>
      </w:r>
    </w:p>
    <w:p w14:paraId="1D42A41D" w14:textId="77777777" w:rsidR="00963C58" w:rsidRDefault="00963C58" w:rsidP="00CB4362">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1A3C1223" w:rsidR="00963C58" w:rsidRDefault="00963C58" w:rsidP="00CB4362">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AA606C">
        <w:rPr>
          <w:rFonts w:ascii="Times New Roman" w:eastAsia="Times New Roman" w:hAnsi="Times New Roman"/>
          <w:sz w:val="24"/>
          <w:lang w:val="lv-LV" w:eastAsia="lv-LV"/>
        </w:rPr>
        <w:t>Edgars Puriņš</w:t>
      </w:r>
    </w:p>
    <w:p w14:paraId="5C4369B7" w14:textId="4C1DE47F" w:rsidR="00AA606C" w:rsidRPr="00AA606C" w:rsidRDefault="00963C58" w:rsidP="00CB4362">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CB4362">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CB4362">
        <w:rPr>
          <w:rFonts w:ascii="Times New Roman" w:eastAsia="Times New Roman" w:hAnsi="Times New Roman"/>
          <w:sz w:val="24"/>
          <w:lang w:val="lv-LV" w:eastAsia="lv-LV"/>
        </w:rPr>
        <w:t xml:space="preserve">Inga Kursīte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CB4362">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AA606C" w:rsidRPr="00AA606C">
        <w:rPr>
          <w:rFonts w:ascii="Times New Roman" w:eastAsia="Times New Roman" w:hAnsi="Times New Roman"/>
          <w:sz w:val="24"/>
          <w:lang w:val="lv-LV" w:eastAsia="lv-LV"/>
        </w:rPr>
        <w:t>patērētāj</w:t>
      </w:r>
      <w:r w:rsidR="000276FC">
        <w:rPr>
          <w:rFonts w:ascii="Times New Roman" w:eastAsia="Times New Roman" w:hAnsi="Times New Roman"/>
          <w:sz w:val="24"/>
          <w:lang w:val="lv-LV" w:eastAsia="lv-LV"/>
        </w:rPr>
        <w:t>u</w:t>
      </w:r>
      <w:r w:rsidR="00AA606C" w:rsidRPr="00AA606C">
        <w:rPr>
          <w:rFonts w:ascii="Times New Roman" w:eastAsia="Times New Roman" w:hAnsi="Times New Roman"/>
          <w:sz w:val="24"/>
          <w:lang w:val="lv-LV" w:eastAsia="lv-LV"/>
        </w:rPr>
        <w:t xml:space="preserve"> un  sabiedrīb</w:t>
      </w:r>
      <w:r w:rsidR="000276FC">
        <w:rPr>
          <w:rFonts w:ascii="Times New Roman" w:eastAsia="Times New Roman" w:hAnsi="Times New Roman"/>
          <w:sz w:val="24"/>
          <w:lang w:val="lv-LV" w:eastAsia="lv-LV"/>
        </w:rPr>
        <w:t xml:space="preserve">u </w:t>
      </w:r>
      <w:r w:rsidR="00AA606C" w:rsidRPr="00AA606C">
        <w:rPr>
          <w:rFonts w:ascii="Times New Roman" w:eastAsia="Times New Roman" w:hAnsi="Times New Roman"/>
          <w:sz w:val="24"/>
          <w:lang w:val="lv-LV" w:eastAsia="lv-LV"/>
        </w:rPr>
        <w:t>saistībā ar atteikuma tiesību un maksājuma atmaksas nenodrošināšanu.</w:t>
      </w:r>
    </w:p>
    <w:p w14:paraId="213B8698" w14:textId="77777777" w:rsidR="00AA606C" w:rsidRPr="00AA606C" w:rsidRDefault="00AA606C" w:rsidP="00CB4362">
      <w:pPr>
        <w:widowControl/>
        <w:suppressAutoHyphens/>
        <w:spacing w:after="0"/>
        <w:jc w:val="both"/>
        <w:rPr>
          <w:rFonts w:ascii="Times New Roman" w:eastAsia="Times New Roman" w:hAnsi="Times New Roman"/>
          <w:sz w:val="24"/>
          <w:lang w:val="lv-LV" w:eastAsia="lv-LV"/>
        </w:rPr>
      </w:pPr>
    </w:p>
    <w:p w14:paraId="03A74B64" w14:textId="31D3C9FC" w:rsidR="00AA606C" w:rsidRPr="00AA606C" w:rsidRDefault="00AA606C" w:rsidP="00CB4362">
      <w:pPr>
        <w:widowControl/>
        <w:suppressAutoHyphens/>
        <w:spacing w:after="0"/>
        <w:ind w:firstLine="720"/>
        <w:jc w:val="both"/>
        <w:rPr>
          <w:rFonts w:ascii="Times New Roman" w:eastAsia="Times New Roman" w:hAnsi="Times New Roman"/>
          <w:sz w:val="24"/>
          <w:lang w:val="lv-LV" w:eastAsia="lv-LV"/>
        </w:rPr>
      </w:pPr>
      <w:r w:rsidRPr="00AA606C">
        <w:rPr>
          <w:rFonts w:ascii="Times New Roman" w:eastAsia="Times New Roman" w:hAnsi="Times New Roman"/>
          <w:sz w:val="24"/>
          <w:lang w:val="lv-LV" w:eastAsia="lv-LV"/>
        </w:rPr>
        <w:t>No lietas materiāliem izriet, ka patērētāja 2024. gada 2. aprīlī sabiedrības interneta vietnē pasūtīja automašīnas detaļas un samaksāja par tām 771,17 EUR. 2024. gada 4. aprīlī patērētāja tiešsaistē un e‑pastā nosūtīja sabiedrībai paziņojumu par atteikuma tiesību izmantošanu un pieprasīja atmaksāt samaksāto naudu. Sabiedrība uz patērētājas vairākiem e‑pastiem un telefona zvaniem neatbildēja. 2024. gada 17. jūnijā patērētāja saņēma pasūtītās detaļas un tās nekavējoties nosūtīja atpakaļ sabiedrībai, par ko informēja sabiedrību e‑pastā. Patērētāja norāda, ka sabiedrība nav atmaksājusi samaksāto naudu un nav sniegusi atbildi uz iesniegumu. Patērētāja lūdz Komisiju uzlikt par pienākumu sabiedrībai atmaksāt 771,00 EUR.</w:t>
      </w:r>
    </w:p>
    <w:p w14:paraId="4403EA75" w14:textId="77777777" w:rsidR="00AA606C" w:rsidRPr="00AA606C" w:rsidRDefault="00AA606C" w:rsidP="00CB4362">
      <w:pPr>
        <w:widowControl/>
        <w:suppressAutoHyphens/>
        <w:spacing w:after="0"/>
        <w:jc w:val="both"/>
        <w:rPr>
          <w:rFonts w:ascii="Times New Roman" w:eastAsia="Times New Roman" w:hAnsi="Times New Roman"/>
          <w:sz w:val="24"/>
          <w:lang w:val="lv-LV" w:eastAsia="lv-LV"/>
        </w:rPr>
      </w:pPr>
    </w:p>
    <w:p w14:paraId="65466E02" w14:textId="0FD402F5" w:rsidR="00AA606C" w:rsidRPr="00AA606C" w:rsidRDefault="00AA606C" w:rsidP="00CB4362">
      <w:pPr>
        <w:widowControl/>
        <w:suppressAutoHyphens/>
        <w:spacing w:after="0"/>
        <w:ind w:firstLine="720"/>
        <w:jc w:val="both"/>
        <w:rPr>
          <w:rFonts w:ascii="Times New Roman" w:eastAsia="Times New Roman" w:hAnsi="Times New Roman"/>
          <w:sz w:val="24"/>
          <w:lang w:val="lv-LV" w:eastAsia="lv-LV"/>
        </w:rPr>
      </w:pPr>
      <w:r w:rsidRPr="00AA606C">
        <w:rPr>
          <w:rFonts w:ascii="Times New Roman" w:eastAsia="Times New Roman" w:hAnsi="Times New Roman"/>
          <w:sz w:val="24"/>
          <w:lang w:val="lv-LV" w:eastAsia="lv-LV"/>
        </w:rPr>
        <w:t xml:space="preserve">Sabiedrība lietā ir sniegusi skaidrojumu, ka sūtījums patērētājai esot piegādāts un no patērētājas neesot saņemts atpakaļ neviens sūtījums, tādēļ sabiedrība uzskata, ka tai nav pienākuma atmaksāt naudu. </w:t>
      </w:r>
    </w:p>
    <w:p w14:paraId="4CEE5B7A" w14:textId="77777777" w:rsidR="00AA606C" w:rsidRPr="00AA606C" w:rsidRDefault="00AA606C" w:rsidP="00CB4362">
      <w:pPr>
        <w:widowControl/>
        <w:suppressAutoHyphens/>
        <w:spacing w:after="0"/>
        <w:jc w:val="both"/>
        <w:rPr>
          <w:rFonts w:ascii="Times New Roman" w:eastAsia="Times New Roman" w:hAnsi="Times New Roman"/>
          <w:sz w:val="24"/>
          <w:lang w:val="lv-LV" w:eastAsia="lv-LV"/>
        </w:rPr>
      </w:pPr>
    </w:p>
    <w:p w14:paraId="6F382937" w14:textId="77777777" w:rsidR="00AA606C" w:rsidRPr="00AA606C" w:rsidRDefault="00AA606C" w:rsidP="00CB4362">
      <w:pPr>
        <w:widowControl/>
        <w:suppressAutoHyphens/>
        <w:spacing w:after="0"/>
        <w:ind w:firstLine="720"/>
        <w:jc w:val="both"/>
        <w:rPr>
          <w:rFonts w:ascii="Times New Roman" w:eastAsia="Times New Roman" w:hAnsi="Times New Roman"/>
          <w:sz w:val="24"/>
          <w:lang w:val="lv-LV" w:eastAsia="lv-LV"/>
        </w:rPr>
      </w:pPr>
      <w:r w:rsidRPr="00AA606C">
        <w:rPr>
          <w:rFonts w:ascii="Times New Roman" w:eastAsia="Times New Roman" w:hAnsi="Times New Roman"/>
          <w:sz w:val="24"/>
          <w:lang w:val="lv-LV" w:eastAsia="lv-LV"/>
        </w:rPr>
        <w:t xml:space="preserve">Komisija norāda, ka saskaņā ar Patērētāju tiesību aizsardzības likuma (turpmāk – PTAL) 12. panta pirmo daļu patērētājs var noteiktā termiņā izmantot atteikuma tiesības un, nesniedzot nekādu pamatojumu, atkāpties no distances līguma. Savukārt panta otrā daļa paredz, ka patērētājs pirms atteikuma tiesību termiņa beigām par lēmumu atkāpties no līguma informē pārdevēju, iesniedzot tam atteikuma veidlapu vai paziņojumu par atteikuma tiesību izmantošanu. Termiņš ir ievērots, ja patērētājs paziņojumu </w:t>
      </w:r>
      <w:proofErr w:type="spellStart"/>
      <w:r w:rsidRPr="00AA606C">
        <w:rPr>
          <w:rFonts w:ascii="Times New Roman" w:eastAsia="Times New Roman" w:hAnsi="Times New Roman"/>
          <w:sz w:val="24"/>
          <w:lang w:val="lv-LV" w:eastAsia="lv-LV"/>
        </w:rPr>
        <w:t>nosūta</w:t>
      </w:r>
      <w:proofErr w:type="spellEnd"/>
      <w:r w:rsidRPr="00AA606C">
        <w:rPr>
          <w:rFonts w:ascii="Times New Roman" w:eastAsia="Times New Roman" w:hAnsi="Times New Roman"/>
          <w:sz w:val="24"/>
          <w:lang w:val="lv-LV" w:eastAsia="lv-LV"/>
        </w:rPr>
        <w:t xml:space="preserve"> pirms atteikuma tiesību termiņa beigām. Patērētāja pienākums ir pierādīt atteikuma tiesību izmantošanu.</w:t>
      </w:r>
    </w:p>
    <w:p w14:paraId="58921146" w14:textId="77777777" w:rsidR="00AA606C" w:rsidRPr="00AA606C" w:rsidRDefault="00AA606C" w:rsidP="00CB4362">
      <w:pPr>
        <w:widowControl/>
        <w:suppressAutoHyphens/>
        <w:spacing w:after="0"/>
        <w:jc w:val="both"/>
        <w:rPr>
          <w:rFonts w:ascii="Times New Roman" w:eastAsia="Times New Roman" w:hAnsi="Times New Roman"/>
          <w:sz w:val="24"/>
          <w:lang w:val="lv-LV" w:eastAsia="lv-LV"/>
        </w:rPr>
      </w:pPr>
    </w:p>
    <w:p w14:paraId="76AD92A7" w14:textId="77777777" w:rsidR="00AA606C" w:rsidRPr="00AA606C" w:rsidRDefault="00AA606C" w:rsidP="00CB4362">
      <w:pPr>
        <w:widowControl/>
        <w:suppressAutoHyphens/>
        <w:spacing w:after="0"/>
        <w:ind w:firstLine="720"/>
        <w:jc w:val="both"/>
        <w:rPr>
          <w:rFonts w:ascii="Times New Roman" w:eastAsia="Times New Roman" w:hAnsi="Times New Roman"/>
          <w:sz w:val="24"/>
          <w:lang w:val="lv-LV" w:eastAsia="lv-LV"/>
        </w:rPr>
      </w:pPr>
      <w:r w:rsidRPr="00AA606C">
        <w:rPr>
          <w:rFonts w:ascii="Times New Roman" w:eastAsia="Times New Roman" w:hAnsi="Times New Roman"/>
          <w:sz w:val="24"/>
          <w:lang w:val="lv-LV" w:eastAsia="lv-LV"/>
        </w:rPr>
        <w:t xml:space="preserve">Savukārt PTAL 12. panta sestā daļa paredz, ka pārdevējs bez nepamatotas kavēšanās, bet ne vēlāk kā 14 dienu laikā no dienas, kad saņēmis informāciju par patērētāja lēmumu </w:t>
      </w:r>
      <w:r w:rsidRPr="00AA606C">
        <w:rPr>
          <w:rFonts w:ascii="Times New Roman" w:eastAsia="Times New Roman" w:hAnsi="Times New Roman"/>
          <w:sz w:val="24"/>
          <w:lang w:val="lv-LV" w:eastAsia="lv-LV"/>
        </w:rPr>
        <w:lastRenderedPageBreak/>
        <w:t>atkāpties no līguma, atmaksā patērētājam viņa samaksāto naudas summu, tajā skaitā patērētāja samaksātos piegādes izdevumus.</w:t>
      </w:r>
    </w:p>
    <w:p w14:paraId="7BE003E8" w14:textId="77777777" w:rsidR="00AA606C" w:rsidRPr="00AA606C" w:rsidRDefault="00AA606C" w:rsidP="00CB4362">
      <w:pPr>
        <w:widowControl/>
        <w:suppressAutoHyphens/>
        <w:spacing w:after="0"/>
        <w:jc w:val="both"/>
        <w:rPr>
          <w:rFonts w:ascii="Times New Roman" w:eastAsia="Times New Roman" w:hAnsi="Times New Roman"/>
          <w:sz w:val="24"/>
          <w:lang w:val="lv-LV" w:eastAsia="lv-LV"/>
        </w:rPr>
      </w:pPr>
    </w:p>
    <w:p w14:paraId="5C02C335" w14:textId="77777777" w:rsidR="00AA606C" w:rsidRPr="00AA606C" w:rsidRDefault="00AA606C" w:rsidP="00CB4362">
      <w:pPr>
        <w:widowControl/>
        <w:suppressAutoHyphens/>
        <w:spacing w:after="0"/>
        <w:ind w:firstLine="720"/>
        <w:jc w:val="both"/>
        <w:rPr>
          <w:rFonts w:ascii="Times New Roman" w:eastAsia="Times New Roman" w:hAnsi="Times New Roman"/>
          <w:sz w:val="24"/>
          <w:lang w:val="lv-LV" w:eastAsia="lv-LV"/>
        </w:rPr>
      </w:pPr>
      <w:r w:rsidRPr="00AA606C">
        <w:rPr>
          <w:rFonts w:ascii="Times New Roman" w:eastAsia="Times New Roman" w:hAnsi="Times New Roman"/>
          <w:sz w:val="24"/>
          <w:lang w:val="lv-LV" w:eastAsia="lv-LV"/>
        </w:rPr>
        <w:t>No minētā izriet, ka sabiedrībai bija pienākums atmaksāt patērētājai samaksāto naudas summu 14 dienu laikā pēc atteikuma paziņojuma saņemšanas, taču sabiedrība to nav izdarījusi un nav sniegusi pierādījumus, kas attaisnotu naudas neatmaksāšanu.</w:t>
      </w:r>
    </w:p>
    <w:p w14:paraId="71079FB1" w14:textId="77777777" w:rsidR="00AA606C" w:rsidRPr="00AA606C" w:rsidRDefault="00AA606C" w:rsidP="00CB4362">
      <w:pPr>
        <w:widowControl/>
        <w:suppressAutoHyphens/>
        <w:spacing w:after="0"/>
        <w:jc w:val="both"/>
        <w:rPr>
          <w:rFonts w:ascii="Times New Roman" w:eastAsia="Times New Roman" w:hAnsi="Times New Roman"/>
          <w:sz w:val="24"/>
          <w:lang w:val="lv-LV" w:eastAsia="lv-LV"/>
        </w:rPr>
      </w:pPr>
    </w:p>
    <w:p w14:paraId="4C864887" w14:textId="77777777" w:rsidR="00AA606C" w:rsidRDefault="00AA606C" w:rsidP="00CB4362">
      <w:pPr>
        <w:widowControl/>
        <w:suppressAutoHyphens/>
        <w:spacing w:after="0"/>
        <w:ind w:firstLine="720"/>
        <w:jc w:val="both"/>
        <w:rPr>
          <w:rFonts w:ascii="Times New Roman" w:eastAsia="Times New Roman" w:hAnsi="Times New Roman"/>
          <w:sz w:val="24"/>
          <w:lang w:val="lv-LV" w:eastAsia="lv-LV"/>
        </w:rPr>
      </w:pPr>
      <w:r w:rsidRPr="00AA606C">
        <w:rPr>
          <w:rFonts w:ascii="Times New Roman" w:eastAsia="Times New Roman" w:hAnsi="Times New Roman"/>
          <w:sz w:val="24"/>
          <w:lang w:val="lv-LV" w:eastAsia="lv-LV"/>
        </w:rPr>
        <w:t>Komisija norāda, ka sabiedrība nav izpildījusi PTAL 26.</w:t>
      </w:r>
      <w:r w:rsidRPr="00155ED6">
        <w:rPr>
          <w:rFonts w:ascii="Times New Roman" w:eastAsia="Times New Roman" w:hAnsi="Times New Roman"/>
          <w:sz w:val="24"/>
          <w:vertAlign w:val="superscript"/>
          <w:lang w:val="lv-LV" w:eastAsia="lv-LV"/>
        </w:rPr>
        <w:t>1</w:t>
      </w:r>
      <w:r w:rsidRPr="00AA606C">
        <w:rPr>
          <w:rFonts w:ascii="Times New Roman" w:eastAsia="Times New Roman" w:hAnsi="Times New Roman"/>
          <w:sz w:val="24"/>
          <w:lang w:val="lv-LV" w:eastAsia="lv-LV"/>
        </w:rPr>
        <w:t xml:space="preserve"> panta piektajā daļā noteikto pienākumu sniegt atbildi uz patērētājas iesniegumu 15 darbdienu laikā, līdz ar to uzskatāms, ka sabiedrība ir atteikusies izpildīt patērētājas prasījumu.</w:t>
      </w:r>
    </w:p>
    <w:p w14:paraId="03E4144C" w14:textId="77777777" w:rsidR="00CB4362" w:rsidRDefault="00CB4362" w:rsidP="00CB4362">
      <w:pPr>
        <w:widowControl/>
        <w:suppressAutoHyphens/>
        <w:spacing w:after="0"/>
        <w:ind w:firstLine="720"/>
        <w:jc w:val="both"/>
        <w:rPr>
          <w:rFonts w:ascii="Times New Roman" w:eastAsia="Times New Roman" w:hAnsi="Times New Roman"/>
          <w:sz w:val="24"/>
          <w:lang w:val="lv-LV" w:eastAsia="lv-LV"/>
        </w:rPr>
      </w:pPr>
    </w:p>
    <w:p w14:paraId="65336B55" w14:textId="688AEADC" w:rsidR="00CB4362" w:rsidRPr="00AA606C" w:rsidRDefault="00155ED6" w:rsidP="00B22A85">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Attiecībā par to, ka </w:t>
      </w:r>
      <w:r w:rsidR="00B22A85">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abiedrība jau pēc atteikuma tiesību izmantošanas tomēr ir preci nosūtījusi patērētājam, </w:t>
      </w:r>
      <w:r w:rsidR="00CB4362" w:rsidRPr="00CB4362">
        <w:rPr>
          <w:rFonts w:ascii="Times New Roman" w:eastAsia="Times New Roman" w:hAnsi="Times New Roman"/>
          <w:sz w:val="24"/>
          <w:lang w:val="lv-LV" w:eastAsia="lv-LV"/>
        </w:rPr>
        <w:t>Komisija</w:t>
      </w:r>
      <w:r>
        <w:rPr>
          <w:rFonts w:ascii="Times New Roman" w:eastAsia="Times New Roman" w:hAnsi="Times New Roman"/>
          <w:sz w:val="24"/>
          <w:lang w:val="lv-LV" w:eastAsia="lv-LV"/>
        </w:rPr>
        <w:t xml:space="preserve"> norāda, ka </w:t>
      </w:r>
      <w:r w:rsidR="00B22A85">
        <w:rPr>
          <w:rFonts w:ascii="Times New Roman" w:eastAsia="Times New Roman" w:hAnsi="Times New Roman"/>
          <w:sz w:val="24"/>
          <w:lang w:val="lv-LV" w:eastAsia="lv-LV"/>
        </w:rPr>
        <w:t xml:space="preserve">šādai darbībai no sabiedrības puses vairs nebija tiesiska pamata, jo starp patērētāju un sabiedrību vairs nepastāvēja nekādas tiesiskās attiecības. Tāpēc jautājumi par preces nosūtīšanu, atgriešanu nav Komisijas kompetencē un būtu risināmi vispārējā civiltiesiskā kārtībā.  </w:t>
      </w:r>
    </w:p>
    <w:bookmarkEnd w:id="0"/>
    <w:bookmarkEnd w:id="1"/>
    <w:bookmarkEnd w:id="2"/>
    <w:bookmarkEnd w:id="3"/>
    <w:bookmarkEnd w:id="4"/>
    <w:bookmarkEnd w:id="5"/>
    <w:p w14:paraId="118C8F74" w14:textId="6FABA9EA" w:rsidR="00963C58" w:rsidRDefault="00963C58" w:rsidP="00CB436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A3957EB" w14:textId="6FBE9856" w:rsidR="00AA606C" w:rsidRPr="00CB4362" w:rsidRDefault="00AA606C" w:rsidP="00AA606C">
      <w:pPr>
        <w:widowControl/>
        <w:spacing w:after="0" w:line="240" w:lineRule="auto"/>
        <w:jc w:val="both"/>
        <w:rPr>
          <w:rFonts w:ascii="Times New Roman" w:eastAsia="Times New Roman" w:hAnsi="Times New Roman"/>
          <w:b/>
          <w:bCs/>
          <w:sz w:val="24"/>
          <w:lang w:val="lv-LV" w:eastAsia="lv-LV"/>
        </w:rPr>
      </w:pPr>
      <w:r w:rsidRPr="00CB4362">
        <w:rPr>
          <w:rFonts w:ascii="Times New Roman" w:eastAsia="Times New Roman" w:hAnsi="Times New Roman"/>
          <w:b/>
          <w:bCs/>
          <w:sz w:val="24"/>
          <w:lang w:val="lv-LV" w:eastAsia="lv-LV"/>
        </w:rPr>
        <w:t xml:space="preserve">apmierināt </w:t>
      </w:r>
      <w:r w:rsidR="000276FC">
        <w:rPr>
          <w:rFonts w:ascii="Times New Roman" w:eastAsia="Times New Roman" w:hAnsi="Times New Roman"/>
          <w:b/>
          <w:bCs/>
          <w:sz w:val="24"/>
          <w:lang w:val="lv-LV" w:eastAsia="lv-LV"/>
        </w:rPr>
        <w:t>patērētājas</w:t>
      </w:r>
      <w:r w:rsidRPr="00CB4362">
        <w:rPr>
          <w:rFonts w:ascii="Times New Roman" w:eastAsia="Times New Roman" w:hAnsi="Times New Roman"/>
          <w:b/>
          <w:bCs/>
          <w:sz w:val="24"/>
          <w:lang w:val="lv-LV" w:eastAsia="lv-LV"/>
        </w:rPr>
        <w:t xml:space="preserve"> prasību.</w:t>
      </w:r>
    </w:p>
    <w:p w14:paraId="74EE8CBD" w14:textId="77777777" w:rsidR="00AA606C" w:rsidRPr="00CB4362" w:rsidRDefault="00AA606C" w:rsidP="00AA606C">
      <w:pPr>
        <w:widowControl/>
        <w:spacing w:after="0" w:line="240" w:lineRule="auto"/>
        <w:jc w:val="both"/>
        <w:rPr>
          <w:rFonts w:ascii="Times New Roman" w:eastAsia="Times New Roman" w:hAnsi="Times New Roman"/>
          <w:b/>
          <w:bCs/>
          <w:sz w:val="24"/>
          <w:lang w:val="lv-LV" w:eastAsia="lv-LV"/>
        </w:rPr>
      </w:pPr>
    </w:p>
    <w:p w14:paraId="63230FDF" w14:textId="21B96857" w:rsidR="00AA606C" w:rsidRPr="00CB4362" w:rsidRDefault="00AA606C" w:rsidP="00AA606C">
      <w:pPr>
        <w:widowControl/>
        <w:spacing w:after="0" w:line="240" w:lineRule="auto"/>
        <w:jc w:val="both"/>
        <w:rPr>
          <w:rFonts w:ascii="Times New Roman" w:eastAsia="Times New Roman" w:hAnsi="Times New Roman"/>
          <w:b/>
          <w:bCs/>
          <w:sz w:val="24"/>
          <w:lang w:val="lv-LV" w:eastAsia="lv-LV"/>
        </w:rPr>
      </w:pPr>
      <w:r w:rsidRPr="00CB4362">
        <w:rPr>
          <w:rFonts w:ascii="Times New Roman" w:eastAsia="Times New Roman" w:hAnsi="Times New Roman"/>
          <w:b/>
          <w:bCs/>
          <w:sz w:val="24"/>
          <w:lang w:val="lv-LV" w:eastAsia="lv-LV"/>
        </w:rPr>
        <w:t>Sabiedrībai atmaksāt patērētājai 771,00 EUR uz patērētājas norādīto bankas kontu.</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3035BD17"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AA606C">
        <w:rPr>
          <w:rFonts w:ascii="Times New Roman" w:eastAsia="Times New Roman" w:hAnsi="Times New Roman"/>
          <w:sz w:val="24"/>
          <w:lang w:val="lv-LV" w:eastAsia="lv-LV"/>
        </w:rPr>
        <w:t>Edgars Puriņš</w:t>
      </w:r>
    </w:p>
    <w:p w14:paraId="17B7D91F" w14:textId="77777777" w:rsidR="00AA606C" w:rsidRDefault="00AA606C"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48E8B13B" w14:textId="7998A972" w:rsidR="00AA606C" w:rsidRPr="00CB4362" w:rsidRDefault="00AA606C" w:rsidP="00CB4362">
      <w:pPr>
        <w:widowControl/>
        <w:tabs>
          <w:tab w:val="left" w:pos="6804"/>
        </w:tabs>
        <w:spacing w:before="360" w:after="0" w:line="240" w:lineRule="auto"/>
        <w:jc w:val="center"/>
        <w:rPr>
          <w:rFonts w:ascii="Times New Roman" w:hAnsi="Times New Roman"/>
          <w:i/>
          <w:iCs/>
          <w:lang w:val="lv-LV"/>
        </w:rPr>
      </w:pPr>
      <w:r w:rsidRPr="00CB4362">
        <w:rPr>
          <w:rFonts w:ascii="Times New Roman" w:hAnsi="Times New Roman"/>
          <w:i/>
          <w:iCs/>
          <w:lang w:val="lv-LV"/>
        </w:rPr>
        <w:t>Šis dokuments ir parakstīts ar drošu elektronisko parakstu un satur laika zīmogu.</w:t>
      </w:r>
    </w:p>
    <w:sectPr w:rsidR="00AA606C" w:rsidRPr="00CB436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265B" w14:textId="77777777" w:rsidR="002231E0" w:rsidRDefault="002231E0">
      <w:pPr>
        <w:spacing w:after="0" w:line="240" w:lineRule="auto"/>
      </w:pPr>
      <w:r>
        <w:separator/>
      </w:r>
    </w:p>
  </w:endnote>
  <w:endnote w:type="continuationSeparator" w:id="0">
    <w:p w14:paraId="6A0301EA" w14:textId="77777777" w:rsidR="002231E0" w:rsidRDefault="0022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34BD" w14:textId="77777777" w:rsidR="002231E0" w:rsidRDefault="002231E0">
      <w:pPr>
        <w:spacing w:after="0" w:line="240" w:lineRule="auto"/>
      </w:pPr>
      <w:r>
        <w:separator/>
      </w:r>
    </w:p>
  </w:footnote>
  <w:footnote w:type="continuationSeparator" w:id="0">
    <w:p w14:paraId="1D076986" w14:textId="77777777" w:rsidR="002231E0" w:rsidRDefault="0022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76FC"/>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5ED6"/>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231E0"/>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A4488"/>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0C0"/>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06C"/>
    <w:rsid w:val="00AA676D"/>
    <w:rsid w:val="00AA7F6E"/>
    <w:rsid w:val="00AB7AE7"/>
    <w:rsid w:val="00AC3043"/>
    <w:rsid w:val="00AD147F"/>
    <w:rsid w:val="00AD61DF"/>
    <w:rsid w:val="00AF411B"/>
    <w:rsid w:val="00B02035"/>
    <w:rsid w:val="00B03312"/>
    <w:rsid w:val="00B10639"/>
    <w:rsid w:val="00B15FF7"/>
    <w:rsid w:val="00B22A85"/>
    <w:rsid w:val="00B44D66"/>
    <w:rsid w:val="00B468FF"/>
    <w:rsid w:val="00B50C81"/>
    <w:rsid w:val="00B55BFD"/>
    <w:rsid w:val="00B606FD"/>
    <w:rsid w:val="00B66301"/>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B4362"/>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3391</Characters>
  <Application>Microsoft Office Word</Application>
  <DocSecurity>0</DocSecurity>
  <Lines>70</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3876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2026-04-10T10:23:00Z</dcterms:created>
  <dcterms:modified xsi:type="dcterms:W3CDTF">2026-04-10T10:23:00Z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