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B40D" w14:textId="113561F1" w:rsidR="00BE53F7" w:rsidRPr="00BE53F7" w:rsidRDefault="001914F8" w:rsidP="00BE53F7">
      <w:pPr>
        <w:pStyle w:val="paragraph"/>
        <w:spacing w:before="0" w:beforeAutospacing="0" w:after="0" w:afterAutospacing="0"/>
        <w:ind w:firstLine="5100"/>
        <w:textAlignment w:val="baseline"/>
        <w:rPr>
          <w:b/>
          <w:bCs/>
        </w:rPr>
      </w:pPr>
      <w:r>
        <w:rPr>
          <w:b/>
          <w:bCs/>
        </w:rPr>
        <w:t>patērētāja</w:t>
      </w:r>
    </w:p>
    <w:p w14:paraId="2A27B3A4" w14:textId="77777777" w:rsidR="00BE53F7" w:rsidRDefault="00BE53F7" w:rsidP="00BE53F7">
      <w:pPr>
        <w:pStyle w:val="paragraph"/>
        <w:spacing w:before="0" w:beforeAutospacing="0" w:after="0" w:afterAutospacing="0"/>
        <w:ind w:firstLine="5100"/>
        <w:textAlignment w:val="baseline"/>
        <w:rPr>
          <w:b/>
          <w:bCs/>
        </w:rPr>
      </w:pPr>
    </w:p>
    <w:p w14:paraId="670EC043" w14:textId="3141A1FD" w:rsidR="00BE53F7" w:rsidRPr="00BE53F7" w:rsidRDefault="001914F8" w:rsidP="00BE53F7">
      <w:pPr>
        <w:pStyle w:val="paragraph"/>
        <w:spacing w:before="0" w:beforeAutospacing="0" w:after="0" w:afterAutospacing="0"/>
        <w:ind w:firstLine="5100"/>
        <w:textAlignment w:val="baseline"/>
        <w:rPr>
          <w:b/>
          <w:bCs/>
        </w:rPr>
      </w:pPr>
      <w:r>
        <w:rPr>
          <w:b/>
          <w:bCs/>
        </w:rPr>
        <w:t>sabiedrība</w:t>
      </w:r>
    </w:p>
    <w:p w14:paraId="0D3F2618" w14:textId="74890D89"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3C13D91C"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BE53F7">
        <w:rPr>
          <w:rFonts w:ascii="Times New Roman" w:eastAsia="Times New Roman" w:hAnsi="Times New Roman"/>
          <w:sz w:val="24"/>
          <w:szCs w:val="24"/>
          <w:lang w:val="lv-LV" w:eastAsia="lv-LV"/>
        </w:rPr>
        <w:t>16.aprīlī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BE53F7">
        <w:rPr>
          <w:rFonts w:ascii="Times New Roman" w:eastAsia="Times New Roman" w:hAnsi="Times New Roman"/>
          <w:sz w:val="24"/>
          <w:szCs w:val="24"/>
          <w:lang w:val="lv-LV" w:eastAsia="lv-LV"/>
        </w:rPr>
        <w:t>69</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6065E6DC"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1914F8">
        <w:rPr>
          <w:rFonts w:ascii="Times New Roman" w:eastAsia="Times New Roman" w:hAnsi="Times New Roman"/>
          <w:sz w:val="24"/>
          <w:szCs w:val="24"/>
          <w:lang w:val="lv-LV" w:eastAsia="lv-LV"/>
        </w:rPr>
        <w:t>u u</w:t>
      </w:r>
      <w:r w:rsidR="00025FED">
        <w:rPr>
          <w:rFonts w:ascii="Times New Roman" w:eastAsia="Times New Roman" w:hAnsi="Times New Roman"/>
          <w:sz w:val="24"/>
          <w:szCs w:val="24"/>
          <w:lang w:val="lv-LV" w:eastAsia="lv-LV"/>
        </w:rPr>
        <w:t>n</w:t>
      </w:r>
      <w:r w:rsidR="00025FED" w:rsidRPr="00025FED">
        <w:rPr>
          <w:rFonts w:ascii="Times New Roman" w:eastAsia="Times New Roman" w:hAnsi="Times New Roman"/>
          <w:sz w:val="24"/>
          <w:szCs w:val="24"/>
          <w:lang w:val="lv-LV" w:eastAsia="lv-LV"/>
        </w:rPr>
        <w:t xml:space="preserve"> sabiedrīb</w:t>
      </w:r>
      <w:r w:rsidR="001914F8">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2CB7E5A6" w14:textId="54AE454C" w:rsidR="00BE53F7" w:rsidRDefault="00BE53F7" w:rsidP="00E67A46">
      <w:pPr>
        <w:widowControl/>
        <w:spacing w:after="0" w:line="240" w:lineRule="auto"/>
        <w:ind w:firstLine="709"/>
        <w:jc w:val="both"/>
        <w:rPr>
          <w:rFonts w:ascii="Times New Roman" w:eastAsia="Times New Roman" w:hAnsi="Times New Roman"/>
          <w:sz w:val="24"/>
          <w:szCs w:val="24"/>
          <w:lang w:val="lv-LV" w:eastAsia="lv-LV"/>
        </w:rPr>
      </w:pPr>
      <w:r w:rsidRPr="00BE53F7">
        <w:rPr>
          <w:rFonts w:ascii="Times New Roman" w:eastAsia="Times New Roman" w:hAnsi="Times New Roman"/>
          <w:sz w:val="24"/>
          <w:szCs w:val="24"/>
          <w:lang w:val="lv-LV" w:eastAsia="lv-LV"/>
        </w:rPr>
        <w:t>No lietas materiāliem izriet, ka patērētāj</w:t>
      </w:r>
      <w:r w:rsidR="001C2F8A">
        <w:rPr>
          <w:rFonts w:ascii="Times New Roman" w:eastAsia="Times New Roman" w:hAnsi="Times New Roman"/>
          <w:sz w:val="24"/>
          <w:szCs w:val="24"/>
          <w:lang w:val="lv-LV" w:eastAsia="lv-LV"/>
        </w:rPr>
        <w:t>a</w:t>
      </w:r>
      <w:r w:rsidRPr="00BE53F7">
        <w:rPr>
          <w:rFonts w:ascii="Times New Roman" w:eastAsia="Times New Roman" w:hAnsi="Times New Roman"/>
          <w:sz w:val="24"/>
          <w:szCs w:val="24"/>
          <w:lang w:val="lv-LV" w:eastAsia="lv-LV"/>
        </w:rPr>
        <w:t xml:space="preserve"> 2025. gada 11. novembrī sabiedrībā iegādājās apavus “ADIDAS GAZELLE BOLD W” par cenu 89,00 EUR. Patērētāj</w:t>
      </w:r>
      <w:r w:rsidR="001C2F8A">
        <w:rPr>
          <w:rFonts w:ascii="Times New Roman" w:eastAsia="Times New Roman" w:hAnsi="Times New Roman"/>
          <w:sz w:val="24"/>
          <w:szCs w:val="24"/>
          <w:lang w:val="lv-LV" w:eastAsia="lv-LV"/>
        </w:rPr>
        <w:t>a</w:t>
      </w:r>
      <w:r w:rsidRPr="00BE53F7">
        <w:rPr>
          <w:rFonts w:ascii="Times New Roman" w:eastAsia="Times New Roman" w:hAnsi="Times New Roman"/>
          <w:sz w:val="24"/>
          <w:szCs w:val="24"/>
          <w:lang w:val="lv-LV" w:eastAsia="lv-LV"/>
        </w:rPr>
        <w:t xml:space="preserve"> norāda, ka apavi ir bijuši maz</w:t>
      </w:r>
      <w:r w:rsidR="001C2F8A">
        <w:rPr>
          <w:rFonts w:ascii="Times New Roman" w:eastAsia="Times New Roman" w:hAnsi="Times New Roman"/>
          <w:sz w:val="24"/>
          <w:szCs w:val="24"/>
          <w:lang w:val="lv-LV" w:eastAsia="lv-LV"/>
        </w:rPr>
        <w:t xml:space="preserve"> </w:t>
      </w:r>
      <w:r w:rsidRPr="00BE53F7">
        <w:rPr>
          <w:rFonts w:ascii="Times New Roman" w:eastAsia="Times New Roman" w:hAnsi="Times New Roman"/>
          <w:sz w:val="24"/>
          <w:szCs w:val="24"/>
          <w:lang w:val="lv-LV" w:eastAsia="lv-LV"/>
        </w:rPr>
        <w:t>lietoti un garantijas laikā tiem ir konstatēta neatbilstība – apavos ir atlīmējies audums, ko patērētāj</w:t>
      </w:r>
      <w:r w:rsidR="001C2F8A">
        <w:rPr>
          <w:rFonts w:ascii="Times New Roman" w:eastAsia="Times New Roman" w:hAnsi="Times New Roman"/>
          <w:sz w:val="24"/>
          <w:szCs w:val="24"/>
          <w:lang w:val="lv-LV" w:eastAsia="lv-LV"/>
        </w:rPr>
        <w:t>a</w:t>
      </w:r>
      <w:r w:rsidRPr="00BE53F7">
        <w:rPr>
          <w:rFonts w:ascii="Times New Roman" w:eastAsia="Times New Roman" w:hAnsi="Times New Roman"/>
          <w:sz w:val="24"/>
          <w:szCs w:val="24"/>
          <w:lang w:val="lv-LV" w:eastAsia="lv-LV"/>
        </w:rPr>
        <w:t xml:space="preserve"> uzskata par ražošanas defektu. Patērētāj</w:t>
      </w:r>
      <w:r w:rsidR="001C2F8A">
        <w:rPr>
          <w:rFonts w:ascii="Times New Roman" w:eastAsia="Times New Roman" w:hAnsi="Times New Roman"/>
          <w:sz w:val="24"/>
          <w:szCs w:val="24"/>
          <w:lang w:val="lv-LV" w:eastAsia="lv-LV"/>
        </w:rPr>
        <w:t>a</w:t>
      </w:r>
      <w:r w:rsidRPr="00BE53F7">
        <w:rPr>
          <w:rFonts w:ascii="Times New Roman" w:eastAsia="Times New Roman" w:hAnsi="Times New Roman"/>
          <w:sz w:val="24"/>
          <w:szCs w:val="24"/>
          <w:lang w:val="lv-LV" w:eastAsia="lv-LV"/>
        </w:rPr>
        <w:t xml:space="preserve"> ir vērs</w:t>
      </w:r>
      <w:r w:rsidR="001C2F8A">
        <w:rPr>
          <w:rFonts w:ascii="Times New Roman" w:eastAsia="Times New Roman" w:hAnsi="Times New Roman"/>
          <w:sz w:val="24"/>
          <w:szCs w:val="24"/>
          <w:lang w:val="lv-LV" w:eastAsia="lv-LV"/>
        </w:rPr>
        <w:t>us</w:t>
      </w:r>
      <w:r w:rsidRPr="00BE53F7">
        <w:rPr>
          <w:rFonts w:ascii="Times New Roman" w:eastAsia="Times New Roman" w:hAnsi="Times New Roman"/>
          <w:sz w:val="24"/>
          <w:szCs w:val="24"/>
          <w:lang w:val="lv-LV" w:eastAsia="lv-LV"/>
        </w:rPr>
        <w:t xml:space="preserve">ies pie sabiedrības ar prasību </w:t>
      </w:r>
      <w:r>
        <w:rPr>
          <w:rFonts w:ascii="Times New Roman" w:eastAsia="Times New Roman" w:hAnsi="Times New Roman"/>
          <w:sz w:val="24"/>
          <w:szCs w:val="24"/>
          <w:lang w:val="lv-LV" w:eastAsia="lv-LV"/>
        </w:rPr>
        <w:t>par naudas atmaksu</w:t>
      </w:r>
      <w:r w:rsidRPr="00BE53F7">
        <w:rPr>
          <w:rFonts w:ascii="Times New Roman" w:eastAsia="Times New Roman" w:hAnsi="Times New Roman"/>
          <w:sz w:val="24"/>
          <w:szCs w:val="24"/>
          <w:lang w:val="lv-LV" w:eastAsia="lv-LV"/>
        </w:rPr>
        <w:t xml:space="preserve">, tomēr sabiedrība ir atteikusi prasības izpildi, norādot, ka konstatētais defekts radies nepareizas lietošanas vai kopšanas rezultātā. </w:t>
      </w:r>
    </w:p>
    <w:p w14:paraId="286FACCE" w14:textId="45027167"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Sabiedrība lietā sniegusi skaidrojumu, kurā norāda, ka neatbilstība </w:t>
      </w:r>
      <w:r w:rsidR="001C2F8A">
        <w:rPr>
          <w:rFonts w:ascii="Times New Roman" w:eastAsia="Times New Roman" w:hAnsi="Times New Roman"/>
          <w:sz w:val="24"/>
          <w:szCs w:val="24"/>
          <w:lang w:val="lv-LV" w:eastAsia="lv-LV"/>
        </w:rPr>
        <w:t>ir</w:t>
      </w:r>
      <w:r w:rsidRPr="0087023D">
        <w:rPr>
          <w:rFonts w:ascii="Times New Roman" w:eastAsia="Times New Roman" w:hAnsi="Times New Roman"/>
          <w:sz w:val="24"/>
          <w:szCs w:val="24"/>
          <w:lang w:val="lv-LV" w:eastAsia="lv-LV"/>
        </w:rPr>
        <w:t xml:space="preserve"> maznozīmīga, kā arī apavi </w:t>
      </w:r>
      <w:r w:rsidR="001C2F8A">
        <w:rPr>
          <w:rFonts w:ascii="Times New Roman" w:eastAsia="Times New Roman" w:hAnsi="Times New Roman"/>
          <w:sz w:val="24"/>
          <w:szCs w:val="24"/>
          <w:lang w:val="lv-LV" w:eastAsia="lv-LV"/>
        </w:rPr>
        <w:t>ir</w:t>
      </w:r>
      <w:r w:rsidRPr="0087023D">
        <w:rPr>
          <w:rFonts w:ascii="Times New Roman" w:eastAsia="Times New Roman" w:hAnsi="Times New Roman"/>
          <w:sz w:val="24"/>
          <w:szCs w:val="24"/>
          <w:lang w:val="lv-LV" w:eastAsia="lv-LV"/>
        </w:rPr>
        <w:t xml:space="preserve"> nolietoti un defekts varētu būt radies paklupšanas vai aizķeršanās rezultātā. Līdz ar to sabiedrība noraida patērētāja</w:t>
      </w:r>
      <w:r>
        <w:rPr>
          <w:rFonts w:ascii="Times New Roman" w:eastAsia="Times New Roman" w:hAnsi="Times New Roman"/>
          <w:sz w:val="24"/>
          <w:szCs w:val="24"/>
          <w:lang w:val="lv-LV" w:eastAsia="lv-LV"/>
        </w:rPr>
        <w:t>s</w:t>
      </w:r>
      <w:r w:rsidRPr="0087023D">
        <w:rPr>
          <w:rFonts w:ascii="Times New Roman" w:eastAsia="Times New Roman" w:hAnsi="Times New Roman"/>
          <w:sz w:val="24"/>
          <w:szCs w:val="24"/>
          <w:lang w:val="lv-LV" w:eastAsia="lv-LV"/>
        </w:rPr>
        <w:t xml:space="preserve"> prasību par naudas atmaksu.</w:t>
      </w:r>
    </w:p>
    <w:p w14:paraId="7A25A37F" w14:textId="56D063EA"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materiālus, iesniegtās fotogrāfijas</w:t>
      </w:r>
      <w:r w:rsidR="00547422">
        <w:rPr>
          <w:rFonts w:ascii="Times New Roman" w:eastAsia="Times New Roman" w:hAnsi="Times New Roman"/>
          <w:sz w:val="24"/>
          <w:szCs w:val="24"/>
          <w:lang w:val="lv-LV" w:eastAsia="lv-LV"/>
        </w:rPr>
        <w:t>, konstatē, ka apavu virsma ir nosmērēta ir līmi. Komisija pieļauj, ka patērētāja ir pati mēģinājusi novērts auduma atlīmēšanos. Ņemot vērā, ka uz apaviem ir līmes paliekas, Komisijai nav iespējams noteikt cēloni tam, ka audums ir atlīmējies.</w:t>
      </w:r>
    </w:p>
    <w:p w14:paraId="799AA951" w14:textId="1A8CAFDF" w:rsidR="00547422" w:rsidRPr="0087023D" w:rsidRDefault="00547422"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 lietā esošajiem materiāliem Komisija secina, ka sabiedrība patērētājai ir piedāvājusi novērst auduma atdalīšanos.</w:t>
      </w:r>
    </w:p>
    <w:p w14:paraId="10FE2797" w14:textId="0E74EEE8"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No PTAL 14.panta pirmās daļas izriet, ka prece ir līguma noteikumiem neatbilstoša, ja tā neatbilst solītajai kvalitātei un nav derīga mērķim, kādam patērētājs preci izvēlējies, </w:t>
      </w:r>
    </w:p>
    <w:p w14:paraId="0141876D" w14:textId="00FA097F"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547422">
        <w:rPr>
          <w:rFonts w:ascii="Times New Roman" w:eastAsia="Times New Roman" w:hAnsi="Times New Roman"/>
          <w:sz w:val="24"/>
          <w:szCs w:val="24"/>
          <w:lang w:val="lv-LV" w:eastAsia="lv-LV"/>
        </w:rPr>
        <w:t xml:space="preserve"> otrajai </w:t>
      </w:r>
      <w:r w:rsidRPr="0087023D">
        <w:rPr>
          <w:rFonts w:ascii="Times New Roman" w:eastAsia="Times New Roman" w:hAnsi="Times New Roman"/>
          <w:sz w:val="24"/>
          <w:szCs w:val="24"/>
          <w:lang w:val="lv-LV" w:eastAsia="lv-LV"/>
        </w:rPr>
        <w:t xml:space="preserve">daļai, patērētājam </w:t>
      </w:r>
      <w:r w:rsidR="00547422">
        <w:rPr>
          <w:rFonts w:ascii="Times New Roman" w:eastAsia="Times New Roman" w:hAnsi="Times New Roman"/>
          <w:sz w:val="24"/>
          <w:szCs w:val="24"/>
          <w:lang w:val="lv-LV" w:eastAsia="lv-LV"/>
        </w:rPr>
        <w:t xml:space="preserve">sākotnēji </w:t>
      </w:r>
      <w:r w:rsidRPr="0087023D">
        <w:rPr>
          <w:rFonts w:ascii="Times New Roman" w:eastAsia="Times New Roman" w:hAnsi="Times New Roman"/>
          <w:sz w:val="24"/>
          <w:szCs w:val="24"/>
          <w:lang w:val="lv-LV" w:eastAsia="lv-LV"/>
        </w:rPr>
        <w:t xml:space="preserve">ir tiesības pieprasīt, lai pārdevējs </w:t>
      </w:r>
      <w:r w:rsidR="00547422">
        <w:rPr>
          <w:rFonts w:ascii="Times New Roman" w:eastAsia="Times New Roman" w:hAnsi="Times New Roman"/>
          <w:sz w:val="24"/>
          <w:szCs w:val="24"/>
          <w:lang w:val="lv-LV" w:eastAsia="lv-LV"/>
        </w:rPr>
        <w:t>novērš neatbilstību vai veic preces maiņu. Līdz ar to patērētāja sākotnēji nevar prasīt naudas atmaksu.</w:t>
      </w:r>
    </w:p>
    <w:p w14:paraId="37D8622B" w14:textId="0D73CE4F"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w:t>
      </w:r>
      <w:r w:rsidR="00547422">
        <w:rPr>
          <w:rFonts w:ascii="Times New Roman" w:eastAsia="Times New Roman" w:hAnsi="Times New Roman"/>
          <w:sz w:val="24"/>
          <w:szCs w:val="24"/>
          <w:lang w:val="lv-LV" w:eastAsia="lv-LV"/>
        </w:rPr>
        <w:t xml:space="preserve">nav iespējams secināt, vai auduma atlīmēšanās bija ražošanas defekts, vai radies, piemēram, aizķeroties aiz kaut kā, savukārt tas, ka apaviem ir redzamas, iespējams līmes paliekas, neļauj izdarīt secinājumus par defekta cēloni, līdz ar to Komisijai nav iespējams konstatēt vai apavi ir līguma noteikumiem neatbilstoši. Ievērojot, ka </w:t>
      </w:r>
      <w:r w:rsidR="00547422">
        <w:rPr>
          <w:rFonts w:ascii="Times New Roman" w:eastAsia="Times New Roman" w:hAnsi="Times New Roman"/>
          <w:sz w:val="24"/>
          <w:szCs w:val="24"/>
          <w:lang w:val="lv-LV" w:eastAsia="lv-LV"/>
        </w:rPr>
        <w:lastRenderedPageBreak/>
        <w:t>sabiedrība ir piedāvājusi novērt defektu, Komisija aicina patērētāju izvērtēt sabiedrības piedāvājumu un vienoties par neatbilstības novēršanu.</w:t>
      </w:r>
    </w:p>
    <w:p w14:paraId="23997050" w14:textId="765C6400"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14.panta pirmo daļu, 28.panta </w:t>
      </w:r>
      <w:r w:rsidR="00547422">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5FAD05F7" w:rsidR="000979D1" w:rsidRPr="000979D1" w:rsidRDefault="00547422"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1914F8">
        <w:rPr>
          <w:rFonts w:ascii="Times New Roman" w:eastAsia="Times New Roman" w:hAnsi="Times New Roman"/>
          <w:sz w:val="24"/>
          <w:szCs w:val="24"/>
          <w:lang w:val="lv-LV" w:eastAsia="lv-LV"/>
        </w:rPr>
        <w:t>patērētājas</w:t>
      </w:r>
      <w:r w:rsidR="000979D1" w:rsidRPr="000979D1">
        <w:rPr>
          <w:rFonts w:ascii="Times New Roman" w:eastAsia="Times New Roman" w:hAnsi="Times New Roman"/>
          <w:sz w:val="24"/>
          <w:szCs w:val="24"/>
          <w:lang w:val="lv-LV" w:eastAsia="lv-LV"/>
        </w:rPr>
        <w:t xml:space="preserve"> prasību</w:t>
      </w:r>
      <w:r>
        <w:rPr>
          <w:rFonts w:ascii="Times New Roman" w:eastAsia="Times New Roman" w:hAnsi="Times New Roman"/>
          <w:sz w:val="24"/>
          <w:szCs w:val="24"/>
          <w:lang w:val="lv-LV" w:eastAsia="lv-LV"/>
        </w:rPr>
        <w:t xml:space="preserve"> par naudas atmaksu</w:t>
      </w:r>
      <w:r w:rsidR="000979D1" w:rsidRPr="000979D1">
        <w:rPr>
          <w:rFonts w:ascii="Times New Roman" w:eastAsia="Times New Roman" w:hAnsi="Times New Roman"/>
          <w:sz w:val="24"/>
          <w:szCs w:val="24"/>
          <w:lang w:val="lv-LV" w:eastAsia="lv-LV"/>
        </w:rPr>
        <w:t>.</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D2DC" w14:textId="77777777" w:rsidR="003F56E1" w:rsidRDefault="003F56E1">
      <w:pPr>
        <w:spacing w:after="0" w:line="240" w:lineRule="auto"/>
      </w:pPr>
      <w:r>
        <w:separator/>
      </w:r>
    </w:p>
  </w:endnote>
  <w:endnote w:type="continuationSeparator" w:id="0">
    <w:p w14:paraId="592B9D5D" w14:textId="77777777" w:rsidR="003F56E1" w:rsidRDefault="003F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12F5DB39" w:rsidR="00063A6C" w:rsidRDefault="00063A6C" w:rsidP="00063A6C">
        <w:pPr>
          <w:pStyle w:val="Footer"/>
          <w:jc w:val="center"/>
        </w:pPr>
        <w:r>
          <w:fldChar w:fldCharType="begin"/>
        </w:r>
        <w:r>
          <w:instrText xml:space="preserve"> PAGE   \* MERGEFORMAT </w:instrText>
        </w:r>
        <w:r>
          <w:fldChar w:fldCharType="separate"/>
        </w:r>
        <w:r w:rsidR="00FD683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7A80" w14:textId="77777777" w:rsidR="003F56E1" w:rsidRDefault="003F56E1">
      <w:pPr>
        <w:spacing w:after="0" w:line="240" w:lineRule="auto"/>
      </w:pPr>
      <w:r>
        <w:separator/>
      </w:r>
    </w:p>
  </w:footnote>
  <w:footnote w:type="continuationSeparator" w:id="0">
    <w:p w14:paraId="007E65E9" w14:textId="77777777" w:rsidR="003F56E1" w:rsidRDefault="003F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2069064200">
    <w:abstractNumId w:val="10"/>
  </w:num>
  <w:num w:numId="2" w16cid:durableId="372509753">
    <w:abstractNumId w:val="8"/>
  </w:num>
  <w:num w:numId="3" w16cid:durableId="1988896669">
    <w:abstractNumId w:val="7"/>
  </w:num>
  <w:num w:numId="4" w16cid:durableId="1731733821">
    <w:abstractNumId w:val="6"/>
  </w:num>
  <w:num w:numId="5" w16cid:durableId="1392264873">
    <w:abstractNumId w:val="5"/>
  </w:num>
  <w:num w:numId="6" w16cid:durableId="255137000">
    <w:abstractNumId w:val="9"/>
  </w:num>
  <w:num w:numId="7" w16cid:durableId="762990470">
    <w:abstractNumId w:val="4"/>
  </w:num>
  <w:num w:numId="8" w16cid:durableId="667026025">
    <w:abstractNumId w:val="3"/>
  </w:num>
  <w:num w:numId="9" w16cid:durableId="131414048">
    <w:abstractNumId w:val="2"/>
  </w:num>
  <w:num w:numId="10" w16cid:durableId="394478420">
    <w:abstractNumId w:val="1"/>
  </w:num>
  <w:num w:numId="11" w16cid:durableId="477383476">
    <w:abstractNumId w:val="0"/>
  </w:num>
  <w:num w:numId="12" w16cid:durableId="842889377">
    <w:abstractNumId w:val="11"/>
  </w:num>
  <w:num w:numId="13" w16cid:durableId="666248034">
    <w:abstractNumId w:val="15"/>
  </w:num>
  <w:num w:numId="14" w16cid:durableId="2062434299">
    <w:abstractNumId w:val="13"/>
  </w:num>
  <w:num w:numId="15" w16cid:durableId="929890754">
    <w:abstractNumId w:val="14"/>
  </w:num>
  <w:num w:numId="16" w16cid:durableId="1970477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14F8"/>
    <w:rsid w:val="0019647C"/>
    <w:rsid w:val="001B274D"/>
    <w:rsid w:val="001B380A"/>
    <w:rsid w:val="001B63AF"/>
    <w:rsid w:val="001C048F"/>
    <w:rsid w:val="001C2F8A"/>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3F56E1"/>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47422"/>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787E"/>
    <w:rsid w:val="008079FA"/>
    <w:rsid w:val="00815277"/>
    <w:rsid w:val="008223BD"/>
    <w:rsid w:val="008243C0"/>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B6C88"/>
    <w:rsid w:val="00BC39F6"/>
    <w:rsid w:val="00BC40CB"/>
    <w:rsid w:val="00BD361B"/>
    <w:rsid w:val="00BE0D4D"/>
    <w:rsid w:val="00BE2BE9"/>
    <w:rsid w:val="00BE53F7"/>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838"/>
    <w:rsid w:val="00FD6AC4"/>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D0D2E-7657-4151-9788-0FD0594C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2983</Characters>
  <Application>Microsoft Office Word</Application>
  <DocSecurity>0</DocSecurity>
  <Lines>60</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3424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2026-05-18T14:09:00Z</dcterms:created>
  <dcterms:modified xsi:type="dcterms:W3CDTF">2026-05-18T14:09:00Z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