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0AD8" w14:textId="77777777" w:rsidR="00331C5C" w:rsidRDefault="00331C5C" w:rsidP="00B420C8">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p>
    <w:p w14:paraId="45C67DA3" w14:textId="308ADF93" w:rsidR="00331C5C" w:rsidRPr="00331C5C" w:rsidRDefault="00CE2463" w:rsidP="00331C5C">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patērētājs</w:t>
      </w:r>
    </w:p>
    <w:p w14:paraId="6ACE9EAB" w14:textId="77777777" w:rsidR="00331C5C" w:rsidRPr="00331C5C" w:rsidRDefault="00331C5C" w:rsidP="00331C5C">
      <w:pPr>
        <w:widowControl/>
        <w:spacing w:after="0" w:line="240" w:lineRule="auto"/>
        <w:ind w:left="5103"/>
        <w:rPr>
          <w:rFonts w:ascii="Times New Roman" w:eastAsia="Times New Roman" w:hAnsi="Times New Roman"/>
          <w:b/>
          <w:sz w:val="24"/>
          <w:szCs w:val="24"/>
          <w:lang w:val="lv-LV"/>
        </w:rPr>
      </w:pPr>
    </w:p>
    <w:p w14:paraId="5442FFAC" w14:textId="2A160D9E" w:rsidR="00331C5C" w:rsidRDefault="00CE2463" w:rsidP="00331C5C">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16005ED5" w14:textId="77777777" w:rsidR="00331C5C" w:rsidRDefault="00331C5C" w:rsidP="00B420C8">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54AC3B2E" w:rsidR="00963C58" w:rsidRDefault="00B420C8"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331C5C">
        <w:rPr>
          <w:rFonts w:ascii="Times New Roman" w:eastAsia="Times New Roman" w:hAnsi="Times New Roman"/>
          <w:sz w:val="24"/>
          <w:lang w:val="lv-LV" w:eastAsia="lv-LV"/>
        </w:rPr>
        <w:t>73</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24E52AD8"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B420C8">
        <w:rPr>
          <w:rFonts w:ascii="Times New Roman" w:eastAsia="Times New Roman" w:hAnsi="Times New Roman"/>
          <w:sz w:val="24"/>
          <w:lang w:val="lv-LV" w:eastAsia="lv-LV"/>
        </w:rPr>
        <w:t>Edgars Puriņš</w:t>
      </w:r>
    </w:p>
    <w:p w14:paraId="42C28E53" w14:textId="01FB2EF1" w:rsidR="00B420C8" w:rsidRPr="00B420C8" w:rsidRDefault="00963C58" w:rsidP="00A5698A">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A5698A">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A5698A">
        <w:rPr>
          <w:rFonts w:ascii="Times New Roman" w:eastAsia="Times New Roman" w:hAnsi="Times New Roman"/>
          <w:sz w:val="24"/>
          <w:lang w:val="lv-LV" w:eastAsia="lv-LV"/>
        </w:rPr>
        <w:t xml:space="preserve">Māris Vovks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A5698A">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B420C8" w:rsidRPr="00B420C8">
        <w:rPr>
          <w:rFonts w:ascii="Times New Roman" w:eastAsia="Times New Roman" w:hAnsi="Times New Roman"/>
          <w:sz w:val="24"/>
          <w:lang w:val="lv-LV" w:eastAsia="lv-LV"/>
        </w:rPr>
        <w:t xml:space="preserve">patērētāju un </w:t>
      </w:r>
      <w:r w:rsidR="00CE2463">
        <w:rPr>
          <w:rFonts w:ascii="Times New Roman" w:eastAsia="Times New Roman" w:hAnsi="Times New Roman"/>
          <w:sz w:val="24"/>
          <w:lang w:val="lv-LV" w:eastAsia="lv-LV"/>
        </w:rPr>
        <w:t>s</w:t>
      </w:r>
      <w:r w:rsidR="00B420C8" w:rsidRPr="00B420C8">
        <w:rPr>
          <w:rFonts w:ascii="Times New Roman" w:eastAsia="Times New Roman" w:hAnsi="Times New Roman"/>
          <w:sz w:val="24"/>
          <w:lang w:val="lv-LV" w:eastAsia="lv-LV"/>
        </w:rPr>
        <w:t>abiedrīb</w:t>
      </w:r>
      <w:r w:rsidR="00CE2463">
        <w:rPr>
          <w:rFonts w:ascii="Times New Roman" w:eastAsia="Times New Roman" w:hAnsi="Times New Roman"/>
          <w:sz w:val="24"/>
          <w:lang w:val="lv-LV" w:eastAsia="lv-LV"/>
        </w:rPr>
        <w:t>u</w:t>
      </w:r>
      <w:r w:rsidR="00B420C8" w:rsidRPr="00B420C8">
        <w:rPr>
          <w:rFonts w:ascii="Times New Roman" w:eastAsia="Times New Roman" w:hAnsi="Times New Roman"/>
          <w:sz w:val="24"/>
          <w:lang w:val="lv-LV" w:eastAsia="lv-LV"/>
        </w:rPr>
        <w:t xml:space="preserve"> saistībā ar preces kvalitāti.</w:t>
      </w:r>
    </w:p>
    <w:p w14:paraId="3CDAE649" w14:textId="77777777" w:rsidR="00B420C8" w:rsidRPr="00B420C8" w:rsidRDefault="00B420C8" w:rsidP="00B420C8">
      <w:pPr>
        <w:widowControl/>
        <w:suppressAutoHyphens/>
        <w:spacing w:after="0" w:line="240" w:lineRule="auto"/>
        <w:jc w:val="both"/>
        <w:rPr>
          <w:rFonts w:ascii="Times New Roman" w:eastAsia="Times New Roman" w:hAnsi="Times New Roman"/>
          <w:sz w:val="24"/>
          <w:lang w:val="lv-LV" w:eastAsia="lv-LV"/>
        </w:rPr>
      </w:pPr>
    </w:p>
    <w:p w14:paraId="34C15A15" w14:textId="1C449304" w:rsidR="00B420C8" w:rsidRPr="00B420C8" w:rsidRDefault="00B420C8" w:rsidP="00B420C8">
      <w:pPr>
        <w:widowControl/>
        <w:suppressAutoHyphens/>
        <w:spacing w:after="0"/>
        <w:ind w:firstLine="720"/>
        <w:jc w:val="both"/>
        <w:rPr>
          <w:rFonts w:ascii="Times New Roman" w:eastAsia="Times New Roman" w:hAnsi="Times New Roman"/>
          <w:sz w:val="24"/>
          <w:lang w:val="lv-LV" w:eastAsia="lv-LV"/>
        </w:rPr>
      </w:pPr>
      <w:r w:rsidRPr="00B420C8">
        <w:rPr>
          <w:rFonts w:ascii="Times New Roman" w:eastAsia="Times New Roman" w:hAnsi="Times New Roman"/>
          <w:sz w:val="24"/>
          <w:lang w:val="lv-LV" w:eastAsia="lv-LV"/>
        </w:rPr>
        <w:t>No lietas materiāliem izriet, ka patērētājs 2025. gada 3. oktobrī sabiedrības veikalā iegādājās hokeja nūju CCM S24 Trigger 9 PRO Senior Left 70 P90TM, kas bija paredzēta patērētāja 14 gadus vecā dēla lietošanai. Aptuveni pēc 40–45 dienām tika konstatēta plaisa nūjas lāpstiņā, un 2025. gada 23. novembrī patērētājs vērsās sabiedrībā ar lūgumu nomainīt bojāto preci. 2025. gada 27. novembrī sabiedrība sniedza atteikumu, norādot, ka nūjā nav konstatēts ražotāja defekts un tā atbilst kvalitātes standartiem. Patērētājs nepiekrīt atteikumam un lūdz Komisiju uzlikt par pienākumu sabiedrībai samainīt nūju pret jaunu.</w:t>
      </w:r>
    </w:p>
    <w:p w14:paraId="78A9B01E" w14:textId="77777777" w:rsidR="00B420C8" w:rsidRPr="00B420C8" w:rsidRDefault="00B420C8" w:rsidP="00B420C8">
      <w:pPr>
        <w:widowControl/>
        <w:suppressAutoHyphens/>
        <w:spacing w:after="0"/>
        <w:jc w:val="both"/>
        <w:rPr>
          <w:rFonts w:ascii="Times New Roman" w:eastAsia="Times New Roman" w:hAnsi="Times New Roman"/>
          <w:sz w:val="24"/>
          <w:lang w:val="lv-LV" w:eastAsia="lv-LV"/>
        </w:rPr>
      </w:pPr>
    </w:p>
    <w:p w14:paraId="20D65C98" w14:textId="77777777" w:rsidR="00B420C8" w:rsidRPr="00B420C8" w:rsidRDefault="00B420C8" w:rsidP="00B420C8">
      <w:pPr>
        <w:widowControl/>
        <w:suppressAutoHyphens/>
        <w:spacing w:after="0"/>
        <w:ind w:firstLine="720"/>
        <w:jc w:val="both"/>
        <w:rPr>
          <w:rFonts w:ascii="Times New Roman" w:eastAsia="Times New Roman" w:hAnsi="Times New Roman"/>
          <w:sz w:val="24"/>
          <w:lang w:val="lv-LV" w:eastAsia="lv-LV"/>
        </w:rPr>
      </w:pPr>
      <w:r w:rsidRPr="00B420C8">
        <w:rPr>
          <w:rFonts w:ascii="Times New Roman" w:eastAsia="Times New Roman" w:hAnsi="Times New Roman"/>
          <w:sz w:val="24"/>
          <w:lang w:val="lv-LV" w:eastAsia="lv-LV"/>
        </w:rPr>
        <w:t>Sabiedrība lietā ir sniegusi skaidrojumu, norādot, ka 2025. gada 25. novembrī tā nosūtīja ražotājam CCM hockey AB potenciālo pretenziju par konkrēto nūju, pievienojot fotogrāfijas. No ražotāja sniegtās informācijas izriet, ka tas nav konstatējis materiālas problēmas, kas varētu izraisīt lāpstiņas bojājumu, un norādījis, ka nūja gandrīz divu mēnešu lietošanas laikā bijusi pakļauta fiziskām situācijām, kas var bojāt kompozītmateriālu, tādēļ bojājums esot saistāms ar lietošanas apstākļiem un pretenzija nav akceptējama. Pamatojoties uz ražotāja atzinumu un preces izvērtējumu, sabiedrība noraidīja patērētāja pretenziju, piedāvājot 20 % atlaidi jaunas nūjas iegādei.</w:t>
      </w:r>
    </w:p>
    <w:p w14:paraId="5AAB0A0F" w14:textId="77777777" w:rsidR="00B420C8" w:rsidRPr="00B420C8" w:rsidRDefault="00B420C8" w:rsidP="00B420C8">
      <w:pPr>
        <w:widowControl/>
        <w:suppressAutoHyphens/>
        <w:spacing w:after="0"/>
        <w:jc w:val="both"/>
        <w:rPr>
          <w:rFonts w:ascii="Times New Roman" w:eastAsia="Times New Roman" w:hAnsi="Times New Roman"/>
          <w:sz w:val="24"/>
          <w:lang w:val="lv-LV" w:eastAsia="lv-LV"/>
        </w:rPr>
      </w:pPr>
    </w:p>
    <w:p w14:paraId="1CF65507" w14:textId="40F84CE3" w:rsidR="00B420C8" w:rsidRDefault="00B420C8" w:rsidP="00A5698A">
      <w:pPr>
        <w:widowControl/>
        <w:suppressAutoHyphens/>
        <w:spacing w:after="0"/>
        <w:ind w:firstLine="720"/>
        <w:jc w:val="both"/>
        <w:rPr>
          <w:rFonts w:ascii="Times New Roman" w:eastAsia="Times New Roman" w:hAnsi="Times New Roman"/>
          <w:sz w:val="24"/>
          <w:lang w:val="lv-LV" w:eastAsia="lv-LV"/>
        </w:rPr>
      </w:pPr>
      <w:r w:rsidRPr="00B420C8">
        <w:rPr>
          <w:rFonts w:ascii="Times New Roman" w:eastAsia="Times New Roman" w:hAnsi="Times New Roman"/>
          <w:sz w:val="24"/>
          <w:lang w:val="lv-LV" w:eastAsia="lv-LV"/>
        </w:rPr>
        <w:t xml:space="preserve">Komisija, izvērtējot lietā esošos apstākļus, secina, ka lietā nav iesniegti pierādījumi, kas apstiprinātu, ka konstatētais bojājums būtu saistīts ar ražošanas defektu vai neatbilstību līguma noteikumiem preces piegādes brīdī. Sabiedrība ir iesniegusi ražotāja atzinumu, kurā norādīts, ka nav konstatētas materiālas problēmas, un bojājums ir saistāms ar lietošanas apstākļiem, nevis ražošanas procesu. </w:t>
      </w:r>
    </w:p>
    <w:p w14:paraId="760C008D" w14:textId="77777777" w:rsidR="00A5698A" w:rsidRPr="00B420C8" w:rsidRDefault="00A5698A" w:rsidP="00A5698A">
      <w:pPr>
        <w:widowControl/>
        <w:suppressAutoHyphens/>
        <w:spacing w:after="0"/>
        <w:ind w:firstLine="720"/>
        <w:jc w:val="both"/>
        <w:rPr>
          <w:rFonts w:ascii="Times New Roman" w:eastAsia="Times New Roman" w:hAnsi="Times New Roman"/>
          <w:sz w:val="24"/>
          <w:lang w:val="lv-LV" w:eastAsia="lv-LV"/>
        </w:rPr>
      </w:pPr>
    </w:p>
    <w:p w14:paraId="3128ACDC" w14:textId="77777777" w:rsidR="00B420C8" w:rsidRPr="00B420C8" w:rsidRDefault="00B420C8" w:rsidP="00B420C8">
      <w:pPr>
        <w:widowControl/>
        <w:suppressAutoHyphens/>
        <w:spacing w:after="0"/>
        <w:ind w:firstLine="720"/>
        <w:jc w:val="both"/>
        <w:rPr>
          <w:rFonts w:ascii="Times New Roman" w:eastAsia="Times New Roman" w:hAnsi="Times New Roman"/>
          <w:sz w:val="24"/>
          <w:lang w:val="lv-LV" w:eastAsia="lv-LV"/>
        </w:rPr>
      </w:pPr>
      <w:r w:rsidRPr="00B420C8">
        <w:rPr>
          <w:rFonts w:ascii="Times New Roman" w:eastAsia="Times New Roman" w:hAnsi="Times New Roman"/>
          <w:sz w:val="24"/>
          <w:lang w:val="lv-LV" w:eastAsia="lv-LV"/>
        </w:rPr>
        <w:lastRenderedPageBreak/>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Tā kā neatbilstība atklājusies gada laikā, uzskatāms, ka tā varēja pastāvēt piegādes brīdī, ja vien pārdevējs nepierāda pretējo.</w:t>
      </w:r>
    </w:p>
    <w:p w14:paraId="007C3A0F" w14:textId="77777777" w:rsidR="00B420C8" w:rsidRPr="00B420C8" w:rsidRDefault="00B420C8" w:rsidP="00B420C8">
      <w:pPr>
        <w:widowControl/>
        <w:suppressAutoHyphens/>
        <w:spacing w:after="0"/>
        <w:jc w:val="both"/>
        <w:rPr>
          <w:rFonts w:ascii="Times New Roman" w:eastAsia="Times New Roman" w:hAnsi="Times New Roman"/>
          <w:sz w:val="24"/>
          <w:lang w:val="lv-LV" w:eastAsia="lv-LV"/>
        </w:rPr>
      </w:pPr>
    </w:p>
    <w:p w14:paraId="4DADBE8B" w14:textId="7C467F15" w:rsidR="00B420C8" w:rsidRPr="00B420C8" w:rsidRDefault="00A5698A" w:rsidP="00B420C8">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Izvērtējot lietas materiālos esošās fotogrāfijas, Komisija </w:t>
      </w:r>
      <w:r w:rsidR="00444FA2">
        <w:rPr>
          <w:rFonts w:ascii="Times New Roman" w:eastAsia="Times New Roman" w:hAnsi="Times New Roman"/>
          <w:sz w:val="24"/>
          <w:lang w:val="lv-LV" w:eastAsia="lv-LV"/>
        </w:rPr>
        <w:t>secina</w:t>
      </w:r>
      <w:r>
        <w:rPr>
          <w:rFonts w:ascii="Times New Roman" w:eastAsia="Times New Roman" w:hAnsi="Times New Roman"/>
          <w:sz w:val="24"/>
          <w:lang w:val="lv-LV" w:eastAsia="lv-LV"/>
        </w:rPr>
        <w:t>, ka nūjas lāpstiņas bojājum</w:t>
      </w:r>
      <w:r w:rsidR="00444FA2">
        <w:rPr>
          <w:rFonts w:ascii="Times New Roman" w:eastAsia="Times New Roman" w:hAnsi="Times New Roman"/>
          <w:sz w:val="24"/>
          <w:lang w:val="lv-LV" w:eastAsia="lv-LV"/>
        </w:rPr>
        <w:t>u raksturs liecina par nesamērīgi stipru ārēju mehānisku iedarbību lietošanas laikā, bet ne par ražošanas defektu, lai būtu bijis pamats uzskatīt, ka</w:t>
      </w:r>
      <w:r w:rsidR="00B420C8" w:rsidRPr="00B420C8">
        <w:rPr>
          <w:rFonts w:ascii="Times New Roman" w:eastAsia="Times New Roman" w:hAnsi="Times New Roman"/>
          <w:sz w:val="24"/>
          <w:lang w:val="lv-LV" w:eastAsia="lv-LV"/>
        </w:rPr>
        <w:t xml:space="preserve"> prece būtu bijusi līguma noteikumiem neatbilstoša </w:t>
      </w:r>
      <w:r w:rsidR="00444FA2">
        <w:rPr>
          <w:rFonts w:ascii="Times New Roman" w:eastAsia="Times New Roman" w:hAnsi="Times New Roman"/>
          <w:sz w:val="24"/>
          <w:lang w:val="lv-LV" w:eastAsia="lv-LV"/>
        </w:rPr>
        <w:t xml:space="preserve">jau </w:t>
      </w:r>
      <w:r w:rsidR="00B420C8" w:rsidRPr="00B420C8">
        <w:rPr>
          <w:rFonts w:ascii="Times New Roman" w:eastAsia="Times New Roman" w:hAnsi="Times New Roman"/>
          <w:sz w:val="24"/>
          <w:lang w:val="lv-LV" w:eastAsia="lv-LV"/>
        </w:rPr>
        <w:t>tās piegādes brīdī.</w:t>
      </w:r>
    </w:p>
    <w:bookmarkEnd w:id="0"/>
    <w:bookmarkEnd w:id="1"/>
    <w:bookmarkEnd w:id="2"/>
    <w:bookmarkEnd w:id="3"/>
    <w:bookmarkEnd w:id="4"/>
    <w:bookmarkEnd w:id="5"/>
    <w:p w14:paraId="118C8F74" w14:textId="6FABA9EA" w:rsidR="00963C58" w:rsidRDefault="00963C58" w:rsidP="00B420C8">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74368D93" w14:textId="65F62200" w:rsidR="00B420C8" w:rsidRPr="00444FA2" w:rsidRDefault="00B420C8" w:rsidP="00963C58">
      <w:pPr>
        <w:widowControl/>
        <w:spacing w:after="0" w:line="240" w:lineRule="auto"/>
        <w:jc w:val="both"/>
        <w:rPr>
          <w:rFonts w:ascii="Times New Roman" w:eastAsia="Times New Roman" w:hAnsi="Times New Roman"/>
          <w:b/>
          <w:bCs/>
          <w:sz w:val="24"/>
          <w:lang w:val="lv-LV" w:eastAsia="lv-LV"/>
        </w:rPr>
      </w:pPr>
      <w:r w:rsidRPr="00444FA2">
        <w:rPr>
          <w:rFonts w:ascii="Times New Roman" w:eastAsia="Times New Roman" w:hAnsi="Times New Roman"/>
          <w:b/>
          <w:bCs/>
          <w:sz w:val="24"/>
          <w:lang w:val="lv-LV" w:eastAsia="lv-LV"/>
        </w:rPr>
        <w:t xml:space="preserve">noraidīt </w:t>
      </w:r>
      <w:r w:rsidR="00CE2463">
        <w:rPr>
          <w:rFonts w:ascii="Times New Roman" w:eastAsia="Times New Roman" w:hAnsi="Times New Roman"/>
          <w:b/>
          <w:bCs/>
          <w:sz w:val="24"/>
          <w:lang w:val="lv-LV" w:eastAsia="lv-LV"/>
        </w:rPr>
        <w:t>patērētāja</w:t>
      </w:r>
      <w:r w:rsidRPr="00444FA2">
        <w:rPr>
          <w:rFonts w:ascii="Times New Roman" w:eastAsia="Times New Roman" w:hAnsi="Times New Roman"/>
          <w:b/>
          <w:bCs/>
          <w:sz w:val="24"/>
          <w:lang w:val="lv-LV" w:eastAsia="lv-LV"/>
        </w:rPr>
        <w:t xml:space="preserve"> prasību.</w:t>
      </w:r>
    </w:p>
    <w:p w14:paraId="5DD8D9E4" w14:textId="77777777" w:rsidR="00B420C8" w:rsidRDefault="00B420C8" w:rsidP="00963C58">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30956B70"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B420C8">
        <w:rPr>
          <w:rFonts w:ascii="Times New Roman" w:eastAsia="Times New Roman" w:hAnsi="Times New Roman"/>
          <w:sz w:val="24"/>
          <w:lang w:val="lv-LV" w:eastAsia="lv-LV"/>
        </w:rPr>
        <w:t>Edgars Puriņš</w:t>
      </w:r>
    </w:p>
    <w:p w14:paraId="62252C23" w14:textId="19F304E7" w:rsidR="00B420C8" w:rsidRPr="00B420C8" w:rsidRDefault="00B420C8" w:rsidP="00B420C8">
      <w:pPr>
        <w:widowControl/>
        <w:tabs>
          <w:tab w:val="left" w:pos="6804"/>
        </w:tabs>
        <w:spacing w:before="360" w:after="0" w:line="240" w:lineRule="auto"/>
        <w:jc w:val="center"/>
        <w:rPr>
          <w:i/>
          <w:iCs/>
          <w:lang w:val="lv-LV"/>
        </w:rPr>
      </w:pPr>
      <w:r w:rsidRPr="00B420C8">
        <w:rPr>
          <w:i/>
          <w:iCs/>
          <w:lang w:val="lv-LV"/>
        </w:rPr>
        <w:t>Šis dokuments ir parakstīts ar drošu elektronisko parakstu un satur laika zīmogu.</w:t>
      </w:r>
    </w:p>
    <w:sectPr w:rsidR="00B420C8" w:rsidRPr="00B420C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A980" w14:textId="77777777" w:rsidR="00EF1968" w:rsidRDefault="00EF1968">
      <w:pPr>
        <w:spacing w:after="0" w:line="240" w:lineRule="auto"/>
      </w:pPr>
      <w:r>
        <w:separator/>
      </w:r>
    </w:p>
  </w:endnote>
  <w:endnote w:type="continuationSeparator" w:id="0">
    <w:p w14:paraId="1D48880D" w14:textId="77777777" w:rsidR="00EF1968" w:rsidRDefault="00EF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284E" w14:textId="77777777" w:rsidR="00EF1968" w:rsidRDefault="00EF1968">
      <w:pPr>
        <w:spacing w:after="0" w:line="240" w:lineRule="auto"/>
      </w:pPr>
      <w:r>
        <w:separator/>
      </w:r>
    </w:p>
  </w:footnote>
  <w:footnote w:type="continuationSeparator" w:id="0">
    <w:p w14:paraId="5F0DAA2B" w14:textId="77777777" w:rsidR="00EF1968" w:rsidRDefault="00EF1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C6B7F"/>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330C"/>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E42CA"/>
    <w:rsid w:val="0030420A"/>
    <w:rsid w:val="003142AE"/>
    <w:rsid w:val="00321DE1"/>
    <w:rsid w:val="00323BA9"/>
    <w:rsid w:val="00326138"/>
    <w:rsid w:val="00331C5C"/>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4FA2"/>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7ECB"/>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698A"/>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20C8"/>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2463"/>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EF1968"/>
    <w:rsid w:val="00F00572"/>
    <w:rsid w:val="00F017FD"/>
    <w:rsid w:val="00F146B6"/>
    <w:rsid w:val="00F1681E"/>
    <w:rsid w:val="00F170FA"/>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449</Words>
  <Characters>2908</Characters>
  <Application>Microsoft Office Word</Application>
  <DocSecurity>0</DocSecurity>
  <Lines>59</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3335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5</cp:revision>
  <cp:lastPrinted>2024-06-07T07:24:00Z</cp:lastPrinted>
  <dcterms:created xsi:type="dcterms:W3CDTF">2026-04-13T08:30:00Z</dcterms:created>
  <dcterms:modified xsi:type="dcterms:W3CDTF">2026-05-18T14:39:00Z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