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38D2" w14:textId="314CE16A" w:rsidR="000422CF" w:rsidRDefault="00580051" w:rsidP="000422CF">
      <w:pPr>
        <w:pStyle w:val="paragraph"/>
        <w:spacing w:before="0" w:beforeAutospacing="0" w:after="0" w:afterAutospacing="0"/>
        <w:ind w:left="5245"/>
        <w:textAlignment w:val="baseline"/>
        <w:rPr>
          <w:rFonts w:ascii="Segoe UI" w:hAnsi="Segoe UI" w:cs="Segoe UI"/>
          <w:sz w:val="18"/>
          <w:szCs w:val="18"/>
        </w:rPr>
      </w:pPr>
      <w:r>
        <w:rPr>
          <w:rStyle w:val="normaltextrun"/>
          <w:b/>
          <w:bCs/>
        </w:rPr>
        <w:t>patērētājs</w:t>
      </w:r>
    </w:p>
    <w:p w14:paraId="02F0E94F" w14:textId="77777777" w:rsidR="00A30F45" w:rsidRDefault="00A30F45" w:rsidP="00E24CB1">
      <w:pPr>
        <w:widowControl/>
        <w:spacing w:after="0" w:line="240" w:lineRule="auto"/>
        <w:ind w:left="5245"/>
        <w:rPr>
          <w:rFonts w:ascii="Times New Roman" w:eastAsia="Times New Roman" w:hAnsi="Times New Roman"/>
          <w:b/>
          <w:noProof/>
          <w:sz w:val="24"/>
          <w:szCs w:val="24"/>
          <w:lang w:val="lv-LV"/>
        </w:rPr>
      </w:pPr>
    </w:p>
    <w:p w14:paraId="1258A2BC" w14:textId="1CBD93EA" w:rsidR="000422CF" w:rsidRDefault="00580051" w:rsidP="000422CF">
      <w:pPr>
        <w:pStyle w:val="paragraph"/>
        <w:spacing w:before="0" w:beforeAutospacing="0" w:after="0" w:afterAutospacing="0"/>
        <w:ind w:left="5235"/>
        <w:textAlignment w:val="baseline"/>
        <w:rPr>
          <w:rFonts w:ascii="Segoe UI" w:hAnsi="Segoe UI" w:cs="Segoe UI"/>
          <w:sz w:val="18"/>
          <w:szCs w:val="18"/>
        </w:rPr>
      </w:pPr>
      <w:r>
        <w:rPr>
          <w:rStyle w:val="normaltextrun"/>
          <w:b/>
          <w:bCs/>
        </w:rPr>
        <w:t>sabiedrība</w:t>
      </w:r>
    </w:p>
    <w:p w14:paraId="064F76F8" w14:textId="644E7F6F" w:rsidR="001A7513" w:rsidRPr="0065433A" w:rsidRDefault="001A7513" w:rsidP="00E24CB1">
      <w:pPr>
        <w:widowControl/>
        <w:spacing w:after="0" w:line="240" w:lineRule="auto"/>
        <w:ind w:left="5245"/>
        <w:rPr>
          <w:rFonts w:ascii="Times New Roman" w:eastAsia="Times New Roman" w:hAnsi="Times New Roman"/>
          <w:b/>
          <w:noProof/>
          <w:sz w:val="24"/>
          <w:szCs w:val="24"/>
          <w:lang w:val="lv-LV"/>
        </w:rPr>
      </w:pPr>
    </w:p>
    <w:p w14:paraId="3193C10A" w14:textId="77777777" w:rsidR="001A7513" w:rsidRPr="00024D12" w:rsidRDefault="001A7513" w:rsidP="001A7513">
      <w:pPr>
        <w:widowControl/>
        <w:spacing w:after="0" w:line="240" w:lineRule="auto"/>
        <w:jc w:val="both"/>
        <w:rPr>
          <w:rFonts w:ascii="Times New Roman" w:eastAsia="Times New Roman" w:hAnsi="Times New Roman"/>
          <w:i/>
          <w:noProof/>
          <w:sz w:val="24"/>
          <w:szCs w:val="24"/>
          <w:lang w:val="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123022B9"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0422CF">
        <w:rPr>
          <w:rFonts w:ascii="Times New Roman" w:eastAsia="Times New Roman" w:hAnsi="Times New Roman"/>
          <w:sz w:val="24"/>
          <w:szCs w:val="24"/>
          <w:lang w:val="lv-LV" w:eastAsia="lv-LV"/>
        </w:rPr>
        <w:t>28</w:t>
      </w:r>
      <w:r w:rsidR="00A30F45">
        <w:rPr>
          <w:rFonts w:ascii="Times New Roman" w:eastAsia="Times New Roman" w:hAnsi="Times New Roman"/>
          <w:sz w:val="24"/>
          <w:szCs w:val="24"/>
          <w:lang w:val="lv-LV" w:eastAsia="lv-LV"/>
        </w:rPr>
        <w:t>.maijā</w:t>
      </w:r>
      <w:r w:rsidR="001A7513">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EF2309">
        <w:rPr>
          <w:rFonts w:ascii="Times New Roman" w:eastAsia="Times New Roman" w:hAnsi="Times New Roman"/>
          <w:sz w:val="24"/>
          <w:szCs w:val="24"/>
          <w:lang w:val="lv-LV" w:eastAsia="lv-LV"/>
        </w:rPr>
        <w:tab/>
      </w:r>
      <w:r w:rsidR="00E24CB1">
        <w:rPr>
          <w:rFonts w:ascii="Times New Roman" w:eastAsia="Times New Roman" w:hAnsi="Times New Roman"/>
          <w:sz w:val="24"/>
          <w:szCs w:val="24"/>
          <w:lang w:val="lv-LV" w:eastAsia="lv-LV"/>
        </w:rPr>
        <w:t xml:space="preserve">                </w:t>
      </w:r>
      <w:r w:rsidRPr="00726A68">
        <w:rPr>
          <w:rFonts w:ascii="Times New Roman" w:eastAsia="Times New Roman" w:hAnsi="Times New Roman"/>
          <w:sz w:val="24"/>
          <w:szCs w:val="24"/>
          <w:lang w:val="lv-LV" w:eastAsia="lv-LV"/>
        </w:rPr>
        <w:t>Nr. 2026/</w:t>
      </w:r>
      <w:r w:rsidR="00A30F45">
        <w:rPr>
          <w:rFonts w:ascii="Times New Roman" w:eastAsia="Times New Roman" w:hAnsi="Times New Roman"/>
          <w:sz w:val="24"/>
          <w:szCs w:val="24"/>
          <w:lang w:val="lv-LV" w:eastAsia="lv-LV"/>
        </w:rPr>
        <w:t>1</w:t>
      </w:r>
      <w:r w:rsidR="000422CF">
        <w:rPr>
          <w:rFonts w:ascii="Times New Roman" w:eastAsia="Times New Roman" w:hAnsi="Times New Roman"/>
          <w:sz w:val="24"/>
          <w:szCs w:val="24"/>
          <w:lang w:val="lv-LV" w:eastAsia="lv-LV"/>
        </w:rPr>
        <w:t>38</w:t>
      </w:r>
      <w:r w:rsidRPr="00726A68">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 Liene Neimane,</w:t>
      </w:r>
    </w:p>
    <w:p w14:paraId="6C5245A8" w14:textId="77777777"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loceklis Andrejs Vanags – patērētāju interešu pārstāvis,</w:t>
      </w:r>
    </w:p>
    <w:p w14:paraId="2B473E3C" w14:textId="002863D4"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locekle </w:t>
      </w:r>
      <w:r w:rsidR="000422CF">
        <w:rPr>
          <w:rFonts w:ascii="Times New Roman" w:eastAsia="Times New Roman" w:hAnsi="Times New Roman"/>
          <w:sz w:val="24"/>
          <w:szCs w:val="24"/>
          <w:lang w:val="lv-LV" w:eastAsia="lv-LV"/>
        </w:rPr>
        <w:t>Ilze Pelša</w:t>
      </w:r>
      <w:r w:rsidRPr="00726A68">
        <w:rPr>
          <w:rFonts w:ascii="Times New Roman" w:eastAsia="Times New Roman" w:hAnsi="Times New Roman"/>
          <w:sz w:val="24"/>
          <w:szCs w:val="24"/>
          <w:lang w:val="lv-LV" w:eastAsia="lv-LV"/>
        </w:rPr>
        <w:t xml:space="preserve"> – komersantu interešu pārstāve,</w:t>
      </w:r>
    </w:p>
    <w:p w14:paraId="672B558B" w14:textId="5C24B4D9" w:rsidR="00726A68" w:rsidRDefault="00726A68" w:rsidP="00305B7F">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izskatīja rakstveida procesā strīdu starp patērētāj</w:t>
      </w:r>
      <w:r w:rsidR="00580051">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un sabiedrīb</w:t>
      </w:r>
      <w:r w:rsidR="00580051">
        <w:rPr>
          <w:rFonts w:ascii="Times New Roman" w:eastAsia="Times New Roman" w:hAnsi="Times New Roman"/>
          <w:sz w:val="24"/>
          <w:szCs w:val="24"/>
          <w:lang w:val="lv-LV" w:eastAsia="lv-LV"/>
        </w:rPr>
        <w:t>u</w:t>
      </w:r>
      <w:r w:rsidRPr="00726A68">
        <w:rPr>
          <w:rFonts w:ascii="Times New Roman" w:eastAsia="Times New Roman" w:hAnsi="Times New Roman"/>
          <w:sz w:val="24"/>
          <w:szCs w:val="24"/>
          <w:lang w:val="lv-LV" w:eastAsia="lv-LV"/>
        </w:rPr>
        <w:t xml:space="preserve"> saistībā ar </w:t>
      </w:r>
      <w:r w:rsidR="00A30F45">
        <w:rPr>
          <w:rFonts w:ascii="Times New Roman" w:eastAsia="Times New Roman" w:hAnsi="Times New Roman"/>
          <w:sz w:val="24"/>
          <w:szCs w:val="24"/>
          <w:lang w:val="lv-LV" w:eastAsia="lv-LV"/>
        </w:rPr>
        <w:t xml:space="preserve">iegādātu </w:t>
      </w:r>
      <w:r w:rsidR="000422CF">
        <w:rPr>
          <w:rFonts w:ascii="Times New Roman" w:eastAsia="Times New Roman" w:hAnsi="Times New Roman"/>
          <w:sz w:val="24"/>
          <w:szCs w:val="24"/>
          <w:lang w:val="lv-LV" w:eastAsia="lv-LV"/>
        </w:rPr>
        <w:t>zobu</w:t>
      </w:r>
      <w:r w:rsidR="00305B7F">
        <w:rPr>
          <w:rFonts w:ascii="Times New Roman" w:eastAsia="Times New Roman" w:hAnsi="Times New Roman"/>
          <w:sz w:val="24"/>
          <w:szCs w:val="24"/>
          <w:lang w:val="lv-LV" w:eastAsia="lv-LV"/>
        </w:rPr>
        <w:t xml:space="preserve"> </w:t>
      </w:r>
      <w:r w:rsidR="000422CF">
        <w:rPr>
          <w:rFonts w:ascii="Times New Roman" w:eastAsia="Times New Roman" w:hAnsi="Times New Roman"/>
          <w:sz w:val="24"/>
          <w:szCs w:val="24"/>
          <w:lang w:val="lv-LV" w:eastAsia="lv-LV"/>
        </w:rPr>
        <w:t>birsti</w:t>
      </w:r>
      <w:r w:rsidR="00D0050B">
        <w:rPr>
          <w:rFonts w:ascii="Times New Roman" w:eastAsia="Times New Roman" w:hAnsi="Times New Roman"/>
          <w:sz w:val="24"/>
          <w:szCs w:val="24"/>
          <w:lang w:val="lv-LV" w:eastAsia="lv-LV"/>
        </w:rPr>
        <w:t>.</w:t>
      </w:r>
    </w:p>
    <w:p w14:paraId="3A5F4B1A" w14:textId="723B2813" w:rsidR="00305B7F" w:rsidRDefault="00305B7F" w:rsidP="00305B7F">
      <w:pPr>
        <w:spacing w:after="0" w:line="240" w:lineRule="auto"/>
        <w:ind w:firstLine="709"/>
        <w:jc w:val="both"/>
        <w:rPr>
          <w:rFonts w:ascii="Times New Roman" w:eastAsia="Times New Roman" w:hAnsi="Times New Roman"/>
          <w:sz w:val="24"/>
          <w:szCs w:val="24"/>
          <w:lang w:val="lv-LV" w:eastAsia="lv-LV"/>
        </w:rPr>
      </w:pPr>
      <w:r w:rsidRPr="00305B7F">
        <w:rPr>
          <w:rFonts w:ascii="Times New Roman" w:eastAsia="Times New Roman" w:hAnsi="Times New Roman"/>
          <w:sz w:val="24"/>
          <w:szCs w:val="24"/>
          <w:lang w:val="lv-LV" w:eastAsia="lv-LV"/>
        </w:rPr>
        <w:t>No lietas materiāliem izriet, ka patērētājs 202</w:t>
      </w:r>
      <w:r>
        <w:rPr>
          <w:rFonts w:ascii="Times New Roman" w:eastAsia="Times New Roman" w:hAnsi="Times New Roman"/>
          <w:sz w:val="24"/>
          <w:szCs w:val="24"/>
          <w:lang w:val="lv-LV" w:eastAsia="lv-LV"/>
        </w:rPr>
        <w:t>5</w:t>
      </w:r>
      <w:r w:rsidRPr="00305B7F">
        <w:rPr>
          <w:rFonts w:ascii="Times New Roman" w:eastAsia="Times New Roman" w:hAnsi="Times New Roman"/>
          <w:sz w:val="24"/>
          <w:szCs w:val="24"/>
          <w:lang w:val="lv-LV" w:eastAsia="lv-LV"/>
        </w:rPr>
        <w:t xml:space="preserve">. gada </w:t>
      </w:r>
      <w:r>
        <w:rPr>
          <w:rFonts w:ascii="Times New Roman" w:eastAsia="Times New Roman" w:hAnsi="Times New Roman"/>
          <w:sz w:val="24"/>
          <w:szCs w:val="24"/>
          <w:lang w:val="lv-LV" w:eastAsia="lv-LV"/>
        </w:rPr>
        <w:t>19</w:t>
      </w:r>
      <w:r w:rsidRPr="00305B7F">
        <w:rPr>
          <w:rFonts w:ascii="Times New Roman" w:eastAsia="Times New Roman" w:hAnsi="Times New Roman"/>
          <w:sz w:val="24"/>
          <w:szCs w:val="24"/>
          <w:lang w:val="lv-LV" w:eastAsia="lv-LV"/>
        </w:rPr>
        <w:t>. jūnijā sabiedrības interneta veikalā www.emmi</w:t>
      </w:r>
      <w:r w:rsidRPr="00305B7F">
        <w:rPr>
          <w:rFonts w:ascii="Times New Roman" w:eastAsia="Times New Roman" w:hAnsi="Times New Roman"/>
          <w:sz w:val="24"/>
          <w:szCs w:val="24"/>
          <w:lang w:val="lv-LV" w:eastAsia="lv-LV"/>
        </w:rPr>
        <w:noBreakHyphen/>
        <w:t xml:space="preserve">dent.lv iegādājās ultraskaņas zobu birsti, zobu pastu un rezerves uzgaļus, samaksājot </w:t>
      </w:r>
      <w:r>
        <w:rPr>
          <w:rFonts w:ascii="Times New Roman" w:eastAsia="Times New Roman" w:hAnsi="Times New Roman"/>
          <w:sz w:val="24"/>
          <w:szCs w:val="24"/>
          <w:lang w:val="lv-LV" w:eastAsia="lv-LV"/>
        </w:rPr>
        <w:t>245,00</w:t>
      </w:r>
      <w:r w:rsidRPr="00305B7F">
        <w:rPr>
          <w:rFonts w:ascii="Times New Roman" w:eastAsia="Times New Roman" w:hAnsi="Times New Roman"/>
          <w:sz w:val="24"/>
          <w:szCs w:val="24"/>
          <w:lang w:val="lv-LV" w:eastAsia="lv-LV"/>
        </w:rPr>
        <w:t xml:space="preserve"> EUR.</w:t>
      </w:r>
      <w:r>
        <w:rPr>
          <w:rFonts w:ascii="Times New Roman" w:eastAsia="Times New Roman" w:hAnsi="Times New Roman"/>
          <w:sz w:val="24"/>
          <w:szCs w:val="24"/>
          <w:lang w:val="lv-LV" w:eastAsia="lv-LV"/>
        </w:rPr>
        <w:t xml:space="preserve"> </w:t>
      </w:r>
      <w:r w:rsidRPr="00305B7F">
        <w:rPr>
          <w:rFonts w:ascii="Times New Roman" w:eastAsia="Times New Roman" w:hAnsi="Times New Roman"/>
          <w:sz w:val="24"/>
          <w:szCs w:val="24"/>
          <w:lang w:val="lv-LV" w:eastAsia="lv-LV"/>
        </w:rPr>
        <w:t>Pēc aptuveni trīs mēnešu ilgas preces lietošanas patērētājs konstatēja, ka ultraskaņas zobu birste, pēc patērētāja ieskata, nenodrošina aplikuma noņemšanu. Saistībā ar minēto patērētājs vērsās pie sabiedrības ar pretenziju par preces iespējamu neatbilstību līguma noteikumiem.</w:t>
      </w:r>
      <w:r>
        <w:rPr>
          <w:rFonts w:ascii="Times New Roman" w:eastAsia="Times New Roman" w:hAnsi="Times New Roman"/>
          <w:sz w:val="24"/>
          <w:szCs w:val="24"/>
          <w:lang w:val="lv-LV" w:eastAsia="lv-LV"/>
        </w:rPr>
        <w:t xml:space="preserve"> Sabiedrība i</w:t>
      </w:r>
      <w:r w:rsidRPr="00305B7F">
        <w:rPr>
          <w:rFonts w:ascii="Times New Roman" w:eastAsia="Times New Roman" w:hAnsi="Times New Roman"/>
          <w:sz w:val="24"/>
          <w:szCs w:val="24"/>
          <w:lang w:val="lv-LV" w:eastAsia="lv-LV"/>
        </w:rPr>
        <w:t>zskatot patērētāja pretenziju, puses vienojās par ultraskaņas zobu birstes nosūtīšanu ražotājam ekspertīzes veikšanai. Pēc pārbaudes veikšanas ražotājs sniedza atzinumu, ka prece atbilst līguma noteikumiem un tai nav konstatējami darbības traucējumi vai neatbilstības.</w:t>
      </w:r>
      <w:r>
        <w:rPr>
          <w:rFonts w:ascii="Times New Roman" w:eastAsia="Times New Roman" w:hAnsi="Times New Roman"/>
          <w:sz w:val="24"/>
          <w:szCs w:val="24"/>
          <w:lang w:val="lv-LV" w:eastAsia="lv-LV"/>
        </w:rPr>
        <w:t xml:space="preserve"> </w:t>
      </w:r>
      <w:r w:rsidRPr="00305B7F">
        <w:rPr>
          <w:rFonts w:ascii="Times New Roman" w:eastAsia="Times New Roman" w:hAnsi="Times New Roman"/>
          <w:sz w:val="24"/>
          <w:szCs w:val="24"/>
          <w:lang w:val="lv-LV" w:eastAsia="lv-LV"/>
        </w:rPr>
        <w:t>Pamatojoties uz ražotāja sniegto atzinumu, sabiedrība atteica patērētāja prasību par samaksātās naudas atmaksu.</w:t>
      </w:r>
    </w:p>
    <w:p w14:paraId="62C6C1B5" w14:textId="656B4323" w:rsidR="00305B7F" w:rsidRDefault="00305B7F" w:rsidP="00305B7F">
      <w:pPr>
        <w:spacing w:after="0" w:line="240" w:lineRule="auto"/>
        <w:ind w:firstLine="709"/>
        <w:jc w:val="both"/>
        <w:rPr>
          <w:rFonts w:ascii="Times New Roman" w:eastAsia="Times New Roman" w:hAnsi="Times New Roman"/>
          <w:sz w:val="24"/>
          <w:szCs w:val="24"/>
          <w:lang w:val="lv-LV" w:eastAsia="lv-LV"/>
        </w:rPr>
      </w:pPr>
      <w:r w:rsidRPr="00305B7F">
        <w:rPr>
          <w:rFonts w:ascii="Times New Roman" w:eastAsia="Times New Roman" w:hAnsi="Times New Roman"/>
          <w:sz w:val="24"/>
          <w:szCs w:val="24"/>
          <w:lang w:val="lv-LV" w:eastAsia="lv-LV"/>
        </w:rPr>
        <w:t>Sabiedrība lietā sniegusi paskaidrojumus, norādot, ka tās interneta veikalā tiek tirgotas Vācijā ražotas ultraskaņas zobu birstes. Sabiedrība norāda, ka pirms distances līguma noslēgšanas patērētājam tika sniegta informācija par ultraskaņas zobu birstes darbības principu, kā arī paskaidrots preces lietošanas veids un funkcionalitāte. Vienlaikus sabiedrība uzsver, ka patērētājam nav ticis garantēts konkrēts mutes higiēnas stāvokļa uzlabošanas rezultāts.</w:t>
      </w:r>
      <w:r>
        <w:rPr>
          <w:rFonts w:ascii="Times New Roman" w:eastAsia="Times New Roman" w:hAnsi="Times New Roman"/>
          <w:sz w:val="24"/>
          <w:szCs w:val="24"/>
          <w:lang w:val="lv-LV" w:eastAsia="lv-LV"/>
        </w:rPr>
        <w:t xml:space="preserve"> </w:t>
      </w:r>
      <w:r w:rsidRPr="00305B7F">
        <w:rPr>
          <w:rFonts w:ascii="Times New Roman" w:eastAsia="Times New Roman" w:hAnsi="Times New Roman"/>
          <w:sz w:val="24"/>
          <w:szCs w:val="24"/>
          <w:lang w:val="lv-LV" w:eastAsia="lv-LV"/>
        </w:rPr>
        <w:t>Sabiedrība paskaidro, ka, reaģējot uz patērētāja paustajām aizdomām par ultraskaņas funkcijas iespējamu neatbilstošu darbību, tā organizēja bezmaksas preces pārbaudi pie ražotāja Vācijā. Pēc pārbaudes veikšanas ražotājs apstiprināja, ka ultraskaņas funkcija darbojas atbilstoši tehniskajai specifikācijai un precei nav konstatējami defekti vai citas neatbilstības.</w:t>
      </w:r>
      <w:r>
        <w:rPr>
          <w:rFonts w:ascii="Times New Roman" w:eastAsia="Times New Roman" w:hAnsi="Times New Roman"/>
          <w:sz w:val="24"/>
          <w:szCs w:val="24"/>
          <w:lang w:val="lv-LV" w:eastAsia="lv-LV"/>
        </w:rPr>
        <w:t xml:space="preserve"> </w:t>
      </w:r>
      <w:r w:rsidRPr="00305B7F">
        <w:rPr>
          <w:rFonts w:ascii="Times New Roman" w:eastAsia="Times New Roman" w:hAnsi="Times New Roman"/>
          <w:sz w:val="24"/>
          <w:szCs w:val="24"/>
          <w:lang w:val="lv-LV" w:eastAsia="lv-LV"/>
        </w:rPr>
        <w:t>Ņemot vērā minēto, sabiedrība nepiekrīt patērētāja prasībai par samaksātās naudas atmaksu.</w:t>
      </w:r>
    </w:p>
    <w:p w14:paraId="5D13C7F3" w14:textId="77777777" w:rsidR="00305B7F" w:rsidRPr="00305B7F" w:rsidRDefault="00305B7F" w:rsidP="00305B7F">
      <w:pPr>
        <w:spacing w:after="0" w:line="240" w:lineRule="auto"/>
        <w:ind w:firstLine="709"/>
        <w:jc w:val="both"/>
        <w:rPr>
          <w:rFonts w:ascii="Times New Roman" w:eastAsia="Times New Roman" w:hAnsi="Times New Roman"/>
          <w:sz w:val="24"/>
          <w:szCs w:val="24"/>
          <w:lang w:val="lv-LV" w:eastAsia="lv-LV"/>
        </w:rPr>
      </w:pPr>
      <w:r w:rsidRPr="00305B7F">
        <w:rPr>
          <w:rFonts w:ascii="Times New Roman" w:eastAsia="Times New Roman" w:hAnsi="Times New Roman"/>
          <w:sz w:val="24"/>
          <w:szCs w:val="24"/>
          <w:lang w:val="lv-LV" w:eastAsia="lv-LV"/>
        </w:rPr>
        <w:t xml:space="preserve">Komisija, izvērtējot lietā esošos faktiskos apstākļus, lietas dalībnieku sniegtos paskaidrojumus un iesniegtos pierādījumus, secina, ka lietā nav iespējams objektīvi un nepārprotami konstatēt, vai patērētāja norādītā ultraskaņas zobu birstes nepietiekamā iedarbība ir saistāma ar preces neatbilstību līguma noteikumiem, vai arī minētais vērtējums balstīts uz patērētāja subjektīvu priekšstatu par sagaidāmo lietošanas rezultātu. Lietas materiālos nav pietiekamu, objektīvu un savstarpēji pārbaudāmu pierādījumu, kas ļautu Komisijai konstatēt </w:t>
      </w:r>
      <w:r w:rsidRPr="00305B7F">
        <w:rPr>
          <w:rFonts w:ascii="Times New Roman" w:eastAsia="Times New Roman" w:hAnsi="Times New Roman"/>
          <w:sz w:val="24"/>
          <w:szCs w:val="24"/>
          <w:lang w:val="lv-LV" w:eastAsia="lv-LV"/>
        </w:rPr>
        <w:lastRenderedPageBreak/>
        <w:t>konkrētās preces neatbilstību līguma noteikumiem.</w:t>
      </w:r>
    </w:p>
    <w:p w14:paraId="5AEA99FB" w14:textId="2325E771" w:rsidR="00305B7F" w:rsidRPr="00305B7F" w:rsidRDefault="00305B7F" w:rsidP="00305B7F">
      <w:pPr>
        <w:spacing w:after="0" w:line="240" w:lineRule="auto"/>
        <w:ind w:firstLine="709"/>
        <w:jc w:val="both"/>
        <w:rPr>
          <w:rFonts w:ascii="Times New Roman" w:eastAsia="Times New Roman" w:hAnsi="Times New Roman"/>
          <w:sz w:val="24"/>
          <w:szCs w:val="24"/>
          <w:lang w:val="lv-LV" w:eastAsia="lv-LV"/>
        </w:rPr>
      </w:pPr>
      <w:r w:rsidRPr="00305B7F">
        <w:rPr>
          <w:rFonts w:ascii="Times New Roman" w:eastAsia="Times New Roman" w:hAnsi="Times New Roman"/>
          <w:sz w:val="24"/>
          <w:szCs w:val="24"/>
          <w:lang w:val="lv-LV" w:eastAsia="lv-LV"/>
        </w:rPr>
        <w:t xml:space="preserve">Komisija norāda, ka konkrētā strīda izšķiršanai būtu nepieciešama sarežģīta un padziļināta pierādījumu pārbaude, </w:t>
      </w:r>
      <w:r w:rsidR="003F5341">
        <w:rPr>
          <w:rFonts w:ascii="Times New Roman" w:eastAsia="Times New Roman" w:hAnsi="Times New Roman"/>
          <w:sz w:val="24"/>
          <w:szCs w:val="24"/>
          <w:lang w:val="lv-LV" w:eastAsia="lv-LV"/>
        </w:rPr>
        <w:t>tostarp</w:t>
      </w:r>
      <w:r w:rsidRPr="00305B7F">
        <w:rPr>
          <w:rFonts w:ascii="Times New Roman" w:eastAsia="Times New Roman" w:hAnsi="Times New Roman"/>
          <w:sz w:val="24"/>
          <w:szCs w:val="24"/>
          <w:lang w:val="lv-LV" w:eastAsia="lv-LV"/>
        </w:rPr>
        <w:t xml:space="preserve"> speciālās zināšanas medicīnas, veselības aprūpes, zobārstniecības un medicīnisko tehnoloģiju jomā, kas pārsniedz Komisijas kompetences robežas un nav iegūstamas Komisijas rīcībā esošā procesa ietvaros.</w:t>
      </w:r>
    </w:p>
    <w:p w14:paraId="752210D1" w14:textId="77777777" w:rsidR="00305B7F" w:rsidRPr="00305B7F" w:rsidRDefault="00305B7F" w:rsidP="00305B7F">
      <w:pPr>
        <w:spacing w:after="0" w:line="240" w:lineRule="auto"/>
        <w:ind w:firstLine="709"/>
        <w:jc w:val="both"/>
        <w:rPr>
          <w:rFonts w:ascii="Times New Roman" w:eastAsia="Times New Roman" w:hAnsi="Times New Roman"/>
          <w:sz w:val="24"/>
          <w:szCs w:val="24"/>
          <w:lang w:val="lv-LV" w:eastAsia="lv-LV"/>
        </w:rPr>
      </w:pPr>
      <w:r w:rsidRPr="00305B7F">
        <w:rPr>
          <w:rFonts w:ascii="Times New Roman" w:eastAsia="Times New Roman" w:hAnsi="Times New Roman"/>
          <w:sz w:val="24"/>
          <w:szCs w:val="24"/>
          <w:lang w:val="lv-LV" w:eastAsia="lv-LV"/>
        </w:rPr>
        <w:t xml:space="preserve">Lai pieņemtu objektīvu, vispusīgu un zinātniski pamatotu lēmumu par preces iespējamu neatbilstību līguma noteikumiem, būtu nepieciešams veikt specializētu ekspertīzi un zinātniski pētniecisku </w:t>
      </w:r>
      <w:proofErr w:type="spellStart"/>
      <w:r w:rsidRPr="00305B7F">
        <w:rPr>
          <w:rFonts w:ascii="Times New Roman" w:eastAsia="Times New Roman" w:hAnsi="Times New Roman"/>
          <w:sz w:val="24"/>
          <w:szCs w:val="24"/>
          <w:lang w:val="lv-LV" w:eastAsia="lv-LV"/>
        </w:rPr>
        <w:t>izvērtējumu</w:t>
      </w:r>
      <w:proofErr w:type="spellEnd"/>
      <w:r w:rsidRPr="00305B7F">
        <w:rPr>
          <w:rFonts w:ascii="Times New Roman" w:eastAsia="Times New Roman" w:hAnsi="Times New Roman"/>
          <w:sz w:val="24"/>
          <w:szCs w:val="24"/>
          <w:lang w:val="lv-LV" w:eastAsia="lv-LV"/>
        </w:rPr>
        <w:t xml:space="preserve"> par konkrētās ultraskaņas zobu birstes efektivitāti, tās ietekmi uz mutes dobuma higiēnu, kā arī izvērtēt individuālus ar patērētāju saistītus apstākļus, tostarp zobu tīrīšanas paradumus, mutes dobuma veselības stāvokli, citu mutes higiēnas līdzekļu lietošanu un zobārstniecības speciālistu rekomendāciju ievērošanu.</w:t>
      </w:r>
    </w:p>
    <w:p w14:paraId="1884E4BD" w14:textId="4A2CAF78" w:rsidR="00305B7F" w:rsidRDefault="00305B7F" w:rsidP="00305B7F">
      <w:pPr>
        <w:spacing w:after="0" w:line="240" w:lineRule="auto"/>
        <w:ind w:firstLine="709"/>
        <w:jc w:val="both"/>
        <w:rPr>
          <w:rFonts w:ascii="Times New Roman" w:eastAsia="Times New Roman" w:hAnsi="Times New Roman"/>
          <w:sz w:val="24"/>
          <w:szCs w:val="24"/>
          <w:lang w:val="lv-LV" w:eastAsia="lv-LV"/>
        </w:rPr>
      </w:pPr>
      <w:r w:rsidRPr="00305B7F">
        <w:rPr>
          <w:rFonts w:ascii="Times New Roman" w:eastAsia="Times New Roman" w:hAnsi="Times New Roman"/>
          <w:sz w:val="24"/>
          <w:szCs w:val="24"/>
          <w:lang w:val="lv-LV" w:eastAsia="lv-LV"/>
        </w:rPr>
        <w:t>Komisija papildus norāda, ka tās kompetencē neietilpst medicīniska rakstura atzinumu sniegšana vai zinātnisku secinājumu izdarīšana par konkrētas preces ietekmi uz personas veselības stāvokli. Līdz ar to Komisija nav tiesīga aizstāt kompetentu ekspertu vai ārstniecības personu atzinumus ar savu vērtējumu.</w:t>
      </w:r>
      <w:r w:rsidR="003F5341">
        <w:rPr>
          <w:rFonts w:ascii="Times New Roman" w:eastAsia="Times New Roman" w:hAnsi="Times New Roman"/>
          <w:sz w:val="24"/>
          <w:szCs w:val="24"/>
          <w:lang w:val="lv-LV" w:eastAsia="lv-LV"/>
        </w:rPr>
        <w:t xml:space="preserve"> </w:t>
      </w:r>
      <w:r w:rsidRPr="00305B7F">
        <w:rPr>
          <w:rFonts w:ascii="Times New Roman" w:eastAsia="Times New Roman" w:hAnsi="Times New Roman"/>
          <w:sz w:val="24"/>
          <w:szCs w:val="24"/>
          <w:lang w:val="lv-LV" w:eastAsia="lv-LV"/>
        </w:rPr>
        <w:t>Ņemot vērā minēto, kā arī ievērojot objektivitātes, procesuālās ekonomijas un kompetences robežu principus, Komisijai nav pamata izdarīt kategorisku secinājumu par preces neatbilstību līguma noteikumiem vai uzlikt sabiedrībai pienākumu atmaksāt patērētājam samaksāto naudu.</w:t>
      </w:r>
    </w:p>
    <w:p w14:paraId="0D7F97BF" w14:textId="3A8C9BD8" w:rsidR="003F5341" w:rsidRPr="003F5341" w:rsidRDefault="003F5341" w:rsidP="003F5341">
      <w:pPr>
        <w:spacing w:after="0" w:line="240" w:lineRule="auto"/>
        <w:ind w:firstLine="709"/>
        <w:jc w:val="both"/>
        <w:rPr>
          <w:rFonts w:ascii="Times New Roman" w:eastAsia="Times New Roman" w:hAnsi="Times New Roman"/>
          <w:sz w:val="24"/>
          <w:szCs w:val="24"/>
          <w:lang w:val="lv-LV" w:eastAsia="lv-LV"/>
        </w:rPr>
      </w:pPr>
      <w:r w:rsidRPr="003F5341">
        <w:rPr>
          <w:rFonts w:ascii="Times New Roman" w:eastAsia="Times New Roman" w:hAnsi="Times New Roman"/>
          <w:sz w:val="24"/>
          <w:szCs w:val="24"/>
          <w:lang w:val="lv-LV" w:eastAsia="lv-LV"/>
        </w:rPr>
        <w:t>Šāda apjoma un sarežģītības pētījumu veikšana ir laikietilpīga, turklāt tā var nesamērīgi ietekmēt Komisijas efektīvu darbību un tai normatīvajos aktos noteikto funkciju izpildi. Vienlaikus Komisija norāda, ka arī pēc papildu pierādījumu iegūšanas tai var nebūt iespējams objektīvi un vispusīgi izvērtēt strīda apstākļus, jo Komisijas rīcībā nav speciālo zināšanu zobārstniecības, medicīnas un medicīnisko tehnoloģiju jomā, kas nepieciešamas šāda rakstura secinājumu izdarīšanai.</w:t>
      </w:r>
    </w:p>
    <w:p w14:paraId="3EC7772D" w14:textId="77777777" w:rsidR="00195D84" w:rsidRPr="00195D84" w:rsidRDefault="00195D84" w:rsidP="00195D84">
      <w:pPr>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Patērētāju tiesību aizsardzības likuma 26.</w:t>
      </w:r>
      <w:r w:rsidRPr="00195D84">
        <w:rPr>
          <w:rFonts w:ascii="Times New Roman" w:eastAsia="Times New Roman" w:hAnsi="Times New Roman"/>
          <w:sz w:val="24"/>
          <w:szCs w:val="24"/>
          <w:vertAlign w:val="superscript"/>
          <w:lang w:val="lv-LV" w:eastAsia="lv-LV"/>
        </w:rPr>
        <w:t>12</w:t>
      </w:r>
      <w:r>
        <w:rPr>
          <w:rFonts w:ascii="Times New Roman" w:eastAsia="Times New Roman" w:hAnsi="Times New Roman"/>
          <w:sz w:val="24"/>
          <w:szCs w:val="24"/>
          <w:lang w:val="lv-LV" w:eastAsia="lv-LV"/>
        </w:rPr>
        <w:t xml:space="preserve">. panta otrajā daļā noteikts, ka </w:t>
      </w:r>
      <w:r w:rsidRPr="00195D84">
        <w:rPr>
          <w:rFonts w:ascii="Times New Roman" w:eastAsia="Times New Roman" w:hAnsi="Times New Roman"/>
          <w:sz w:val="24"/>
          <w:szCs w:val="24"/>
          <w:lang w:val="lv-LV" w:eastAsia="lv-LV"/>
        </w:rPr>
        <w:t>Komisija pieņem lēmumu par strīda izbeigšanu, ja objektīvu apstākļu dēļ nav iespējams atrisināt strīdu vai lietā trūkst pierādījumu.</w:t>
      </w:r>
    </w:p>
    <w:p w14:paraId="71B953B0" w14:textId="414B63E7" w:rsidR="00195D84" w:rsidRDefault="00195D84" w:rsidP="000422CF">
      <w:pPr>
        <w:spacing w:after="0" w:line="240" w:lineRule="auto"/>
        <w:ind w:firstLine="709"/>
        <w:jc w:val="both"/>
        <w:rPr>
          <w:rFonts w:ascii="Arial" w:eastAsiaTheme="minorHAnsi" w:hAnsi="Arial" w:cs="Arial"/>
          <w:color w:val="414142"/>
          <w:kern w:val="2"/>
          <w:sz w:val="20"/>
          <w:szCs w:val="20"/>
          <w:shd w:val="clear" w:color="auto" w:fill="FFFFFF"/>
          <w:lang w:val="lv-LV"/>
          <w14:ligatures w14:val="standardContextual"/>
        </w:rPr>
      </w:pPr>
      <w:r>
        <w:rPr>
          <w:rFonts w:ascii="Times New Roman" w:eastAsia="Times New Roman" w:hAnsi="Times New Roman"/>
          <w:sz w:val="24"/>
          <w:szCs w:val="24"/>
          <w:lang w:val="lv-LV" w:eastAsia="lv-LV"/>
        </w:rPr>
        <w:t>Savukārt Patērētāju tiesību aizsardzības likuma 26.</w:t>
      </w:r>
      <w:r w:rsidRPr="00195D84">
        <w:rPr>
          <w:rFonts w:ascii="Times New Roman" w:eastAsia="Times New Roman" w:hAnsi="Times New Roman"/>
          <w:sz w:val="24"/>
          <w:szCs w:val="24"/>
          <w:vertAlign w:val="superscript"/>
          <w:lang w:val="lv-LV" w:eastAsia="lv-LV"/>
        </w:rPr>
        <w:t>3</w:t>
      </w:r>
      <w:r>
        <w:rPr>
          <w:rFonts w:ascii="Times New Roman" w:eastAsia="Times New Roman" w:hAnsi="Times New Roman"/>
          <w:sz w:val="24"/>
          <w:szCs w:val="24"/>
          <w:lang w:val="lv-LV" w:eastAsia="lv-LV"/>
        </w:rPr>
        <w:t xml:space="preserve"> panta piektās daļas 5.punktā noteikts, ka Komisija neizskata strīdu, ja</w:t>
      </w:r>
      <w:r w:rsidRPr="00195D84">
        <w:rPr>
          <w:rFonts w:ascii="Arial" w:hAnsi="Arial" w:cs="Arial"/>
          <w:color w:val="414142"/>
          <w:sz w:val="20"/>
          <w:szCs w:val="20"/>
          <w:shd w:val="clear" w:color="auto" w:fill="FFFFFF"/>
          <w:lang w:val="lv-LV"/>
        </w:rPr>
        <w:t xml:space="preserve"> </w:t>
      </w:r>
      <w:r w:rsidRPr="00195D84">
        <w:rPr>
          <w:rFonts w:ascii="Times New Roman" w:eastAsia="Times New Roman" w:hAnsi="Times New Roman"/>
          <w:sz w:val="24"/>
          <w:szCs w:val="24"/>
          <w:lang w:val="lv-LV" w:eastAsia="lv-LV"/>
        </w:rPr>
        <w:t>strīda risināšana radītu nopietnus traucējumus Komisijas efektīvai darbība</w:t>
      </w:r>
      <w:r>
        <w:rPr>
          <w:rFonts w:ascii="Times New Roman" w:eastAsia="Times New Roman" w:hAnsi="Times New Roman"/>
          <w:sz w:val="24"/>
          <w:szCs w:val="24"/>
          <w:lang w:val="lv-LV" w:eastAsia="lv-LV"/>
        </w:rPr>
        <w:t>i.</w:t>
      </w:r>
      <w:r w:rsidRPr="00195D84">
        <w:rPr>
          <w:rFonts w:ascii="Arial" w:eastAsiaTheme="minorHAnsi" w:hAnsi="Arial" w:cs="Arial"/>
          <w:color w:val="414142"/>
          <w:kern w:val="2"/>
          <w:sz w:val="20"/>
          <w:szCs w:val="20"/>
          <w:shd w:val="clear" w:color="auto" w:fill="FFFFFF"/>
          <w:lang w:val="lv-LV"/>
          <w14:ligatures w14:val="standardContextual"/>
        </w:rPr>
        <w:t xml:space="preserve"> </w:t>
      </w:r>
    </w:p>
    <w:p w14:paraId="7EEB6CD7" w14:textId="2F05247E" w:rsidR="003F5341" w:rsidRPr="003F5341" w:rsidRDefault="003F5341" w:rsidP="003F5341">
      <w:pPr>
        <w:spacing w:after="0" w:line="240" w:lineRule="auto"/>
        <w:ind w:firstLine="709"/>
        <w:jc w:val="both"/>
        <w:rPr>
          <w:rFonts w:ascii="Times New Roman" w:eastAsiaTheme="minorHAnsi" w:hAnsi="Times New Roman"/>
          <w:kern w:val="2"/>
          <w:sz w:val="24"/>
          <w:szCs w:val="24"/>
          <w:shd w:val="clear" w:color="auto" w:fill="FFFFFF"/>
          <w:lang w:val="lv-LV"/>
          <w14:ligatures w14:val="standardContextual"/>
        </w:rPr>
      </w:pPr>
      <w:r w:rsidRPr="003F5341">
        <w:rPr>
          <w:rFonts w:ascii="Times New Roman" w:eastAsiaTheme="minorHAnsi" w:hAnsi="Times New Roman"/>
          <w:kern w:val="2"/>
          <w:sz w:val="24"/>
          <w:szCs w:val="24"/>
          <w:shd w:val="clear" w:color="auto" w:fill="FFFFFF"/>
          <w:lang w:val="lv-LV"/>
          <w14:ligatures w14:val="standardContextual"/>
        </w:rPr>
        <w:t>Ievērojot minēto, Komisija secina, ka konkrētā strīda izskatīšana pēc būtības prasa tādu pierādījumu iegūšanu un izvērtēšanu, kas saistīta ar speciālām zināšanām un padziļinātu ekspertīzi. Šādu procesuālo darbību veikšana Komisijas procesa ietvaros būtu nesamērīgi apgrūtinoša un neatbilstu Komisijas darbības mērķim un kompetences robežām.</w:t>
      </w:r>
      <w:r>
        <w:rPr>
          <w:rFonts w:ascii="Times New Roman" w:eastAsiaTheme="minorHAnsi" w:hAnsi="Times New Roman"/>
          <w:kern w:val="2"/>
          <w:sz w:val="24"/>
          <w:szCs w:val="24"/>
          <w:shd w:val="clear" w:color="auto" w:fill="FFFFFF"/>
          <w:lang w:val="lv-LV"/>
          <w14:ligatures w14:val="standardContextual"/>
        </w:rPr>
        <w:t xml:space="preserve"> </w:t>
      </w:r>
      <w:r w:rsidRPr="003F5341">
        <w:rPr>
          <w:rFonts w:ascii="Times New Roman" w:eastAsiaTheme="minorHAnsi" w:hAnsi="Times New Roman"/>
          <w:kern w:val="2"/>
          <w:sz w:val="24"/>
          <w:szCs w:val="24"/>
          <w:shd w:val="clear" w:color="auto" w:fill="FFFFFF"/>
          <w:lang w:val="lv-LV"/>
          <w14:ligatures w14:val="standardContextual"/>
        </w:rPr>
        <w:t>Ņemot vērā lietas raksturu un sarežģītību, Komisijas ieskatā strīda pilnvērtīgāka un efektīvāka izskatīšana ir iespējama tiesā, kur iespējams nodrošināt visaptverošu pierādījumu pārbaudi un nepieciešamo ekspertīžu veikšanu.</w:t>
      </w:r>
    </w:p>
    <w:p w14:paraId="18118C7C" w14:textId="6844B2E8" w:rsidR="00726A68" w:rsidRPr="00726A68" w:rsidRDefault="00726A68" w:rsidP="001A7513">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Pamatojoties uz Patērētāju tiesību aizsardzības likuma 26.</w:t>
      </w:r>
      <w:r w:rsidRPr="00726A68">
        <w:rPr>
          <w:rFonts w:ascii="Times New Roman" w:eastAsia="Times New Roman" w:hAnsi="Times New Roman"/>
          <w:sz w:val="24"/>
          <w:szCs w:val="24"/>
          <w:vertAlign w:val="superscript"/>
          <w:lang w:val="lv-LV" w:eastAsia="lv-LV"/>
        </w:rPr>
        <w:t>3</w:t>
      </w:r>
      <w:r w:rsidRPr="00726A68">
        <w:rPr>
          <w:rFonts w:ascii="Times New Roman" w:eastAsia="Times New Roman" w:hAnsi="Times New Roman"/>
          <w:sz w:val="24"/>
          <w:szCs w:val="24"/>
          <w:lang w:val="lv-LV" w:eastAsia="lv-LV"/>
        </w:rPr>
        <w:t xml:space="preserve"> panta pirmo daļu</w:t>
      </w:r>
      <w:r w:rsidR="00202679">
        <w:rPr>
          <w:rFonts w:ascii="Times New Roman" w:eastAsia="Times New Roman" w:hAnsi="Times New Roman"/>
          <w:sz w:val="24"/>
          <w:szCs w:val="24"/>
          <w:lang w:val="lv-LV" w:eastAsia="lv-LV"/>
        </w:rPr>
        <w:t>, piektās daļas 5.punktu</w:t>
      </w:r>
      <w:r w:rsidRPr="00726A68">
        <w:rPr>
          <w:rFonts w:ascii="Times New Roman" w:eastAsia="Times New Roman" w:hAnsi="Times New Roman"/>
          <w:sz w:val="24"/>
          <w:szCs w:val="24"/>
          <w:lang w:val="lv-LV" w:eastAsia="lv-LV"/>
        </w:rPr>
        <w:t>, 26.</w:t>
      </w:r>
      <w:r w:rsidRPr="00726A68">
        <w:rPr>
          <w:rFonts w:ascii="Times New Roman" w:eastAsia="Times New Roman" w:hAnsi="Times New Roman"/>
          <w:sz w:val="24"/>
          <w:szCs w:val="24"/>
          <w:vertAlign w:val="superscript"/>
          <w:lang w:val="lv-LV" w:eastAsia="lv-LV"/>
        </w:rPr>
        <w:t>4</w:t>
      </w:r>
      <w:r w:rsidRPr="00726A68">
        <w:rPr>
          <w:rFonts w:ascii="Times New Roman" w:eastAsia="Times New Roman" w:hAnsi="Times New Roman"/>
          <w:sz w:val="24"/>
          <w:szCs w:val="24"/>
          <w:lang w:val="lv-LV" w:eastAsia="lv-LV"/>
        </w:rPr>
        <w:t xml:space="preserve"> panta pirmo un otro daļu, 26.</w:t>
      </w:r>
      <w:r w:rsidRPr="00726A68">
        <w:rPr>
          <w:rFonts w:ascii="Times New Roman" w:eastAsia="Times New Roman" w:hAnsi="Times New Roman"/>
          <w:sz w:val="24"/>
          <w:szCs w:val="24"/>
          <w:vertAlign w:val="superscript"/>
          <w:lang w:val="lv-LV" w:eastAsia="lv-LV"/>
        </w:rPr>
        <w:t>11</w:t>
      </w:r>
      <w:r w:rsidRPr="00726A68">
        <w:rPr>
          <w:rFonts w:ascii="Times New Roman" w:eastAsia="Times New Roman" w:hAnsi="Times New Roman"/>
          <w:sz w:val="24"/>
          <w:szCs w:val="24"/>
          <w:lang w:val="lv-LV" w:eastAsia="lv-LV"/>
        </w:rPr>
        <w:t xml:space="preserve"> panta pirmo daļu un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pirmo un otro daļu</w:t>
      </w:r>
    </w:p>
    <w:p w14:paraId="1A8CB22D" w14:textId="77777777" w:rsidR="00726A68" w:rsidRDefault="00726A68" w:rsidP="00726A68">
      <w:pPr>
        <w:spacing w:after="0" w:line="240" w:lineRule="auto"/>
        <w:ind w:firstLine="709"/>
        <w:jc w:val="center"/>
        <w:rPr>
          <w:rFonts w:ascii="Times New Roman" w:eastAsia="Times New Roman" w:hAnsi="Times New Roman"/>
          <w:b/>
          <w:bCs/>
          <w:sz w:val="24"/>
          <w:szCs w:val="24"/>
          <w:lang w:val="lv-LV" w:eastAsia="lv-LV"/>
        </w:rPr>
      </w:pPr>
    </w:p>
    <w:p w14:paraId="74473514" w14:textId="7E082BFE" w:rsidR="00726A68" w:rsidRPr="00726A68" w:rsidRDefault="00726A68" w:rsidP="00726A68">
      <w:pPr>
        <w:spacing w:after="0" w:line="240" w:lineRule="auto"/>
        <w:ind w:firstLine="709"/>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nolemj</w:t>
      </w:r>
      <w:r w:rsidRPr="00726A68">
        <w:rPr>
          <w:rFonts w:ascii="Times New Roman" w:eastAsia="Times New Roman" w:hAnsi="Times New Roman"/>
          <w:sz w:val="24"/>
          <w:szCs w:val="24"/>
          <w:lang w:val="lv-LV" w:eastAsia="lv-LV"/>
        </w:rPr>
        <w:t>:</w:t>
      </w:r>
    </w:p>
    <w:p w14:paraId="50774D07" w14:textId="77777777" w:rsidR="00726A68" w:rsidRDefault="00726A68" w:rsidP="00726A68">
      <w:pPr>
        <w:spacing w:after="0" w:line="240" w:lineRule="auto"/>
        <w:rPr>
          <w:rFonts w:ascii="Times New Roman" w:eastAsia="Times New Roman" w:hAnsi="Times New Roman"/>
          <w:sz w:val="24"/>
          <w:szCs w:val="24"/>
          <w:lang w:val="lv-LV" w:eastAsia="lv-LV"/>
        </w:rPr>
      </w:pPr>
    </w:p>
    <w:p w14:paraId="49FC59F9" w14:textId="12E1087C" w:rsidR="00064A07" w:rsidRPr="00726A68" w:rsidRDefault="00195D84" w:rsidP="00064A07">
      <w:pPr>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izbeigt strīda izskatīšanu.</w:t>
      </w:r>
    </w:p>
    <w:p w14:paraId="7114703C" w14:textId="77777777" w:rsidR="00064A07" w:rsidRDefault="00064A07" w:rsidP="00064A07">
      <w:pPr>
        <w:spacing w:after="0" w:line="240" w:lineRule="auto"/>
        <w:rPr>
          <w:rFonts w:ascii="Times New Roman" w:eastAsia="Times New Roman" w:hAnsi="Times New Roman"/>
          <w:sz w:val="24"/>
          <w:szCs w:val="24"/>
          <w:lang w:val="lv-LV" w:eastAsia="lv-LV"/>
        </w:rPr>
      </w:pPr>
    </w:p>
    <w:p w14:paraId="38229247" w14:textId="77777777" w:rsidR="00064A07" w:rsidRPr="00726A68" w:rsidRDefault="00064A07" w:rsidP="00064A07">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Saskaņā ar Patērētāju tiesību aizsardzības likuma 26.</w:t>
      </w:r>
      <w:r w:rsidRPr="00726A68">
        <w:rPr>
          <w:rFonts w:ascii="Times New Roman" w:eastAsia="Times New Roman" w:hAnsi="Times New Roman"/>
          <w:sz w:val="24"/>
          <w:szCs w:val="24"/>
          <w:vertAlign w:val="superscript"/>
          <w:lang w:val="lv-LV" w:eastAsia="lv-LV"/>
        </w:rPr>
        <w:t>12</w:t>
      </w:r>
      <w:r w:rsidRPr="00726A68">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7359CD2" w14:textId="77777777" w:rsidR="00195D84" w:rsidRDefault="00195D84" w:rsidP="00726A68">
      <w:pPr>
        <w:spacing w:after="0" w:line="240" w:lineRule="auto"/>
        <w:rPr>
          <w:rFonts w:ascii="Times New Roman" w:eastAsia="Times New Roman" w:hAnsi="Times New Roman"/>
          <w:sz w:val="24"/>
          <w:szCs w:val="24"/>
          <w:lang w:val="lv-LV" w:eastAsia="lv-LV"/>
        </w:rPr>
      </w:pPr>
    </w:p>
    <w:p w14:paraId="0CF9A9A1" w14:textId="5E0F2CC6" w:rsidR="00726A68" w:rsidRPr="00726A68" w:rsidRDefault="00726A68" w:rsidP="00726A68">
      <w:pPr>
        <w:spacing w:after="0" w:line="240" w:lineRule="auto"/>
        <w:rPr>
          <w:rFonts w:ascii="Times New Roman" w:eastAsia="Times New Roman" w:hAnsi="Times New Roman"/>
          <w:b/>
          <w:bCs/>
          <w:i/>
          <w:iCs/>
          <w:sz w:val="24"/>
          <w:szCs w:val="24"/>
          <w:lang w:val="lv-LV" w:eastAsia="lv-LV"/>
        </w:rPr>
      </w:pPr>
      <w:r w:rsidRPr="00726A68">
        <w:rPr>
          <w:rFonts w:ascii="Times New Roman" w:eastAsia="Times New Roman" w:hAnsi="Times New Roman"/>
          <w:b/>
          <w:bCs/>
          <w:i/>
          <w:iCs/>
          <w:sz w:val="24"/>
          <w:szCs w:val="24"/>
          <w:lang w:val="lv-LV" w:eastAsia="lv-LV"/>
        </w:rPr>
        <w:t>Šis dokuments ir parakstīts ar drošu elektronisko parakstu un satur laika zīmogu.</w:t>
      </w:r>
    </w:p>
    <w:p w14:paraId="180C18E8" w14:textId="77777777" w:rsidR="00726A68" w:rsidRDefault="00726A68" w:rsidP="00726A68">
      <w:pPr>
        <w:spacing w:after="0" w:line="240" w:lineRule="auto"/>
        <w:rPr>
          <w:rFonts w:ascii="Times New Roman" w:eastAsia="Times New Roman" w:hAnsi="Times New Roman"/>
          <w:sz w:val="24"/>
          <w:szCs w:val="24"/>
          <w:lang w:val="lv-LV" w:eastAsia="lv-LV"/>
        </w:rPr>
      </w:pPr>
    </w:p>
    <w:p w14:paraId="776F8A89" w14:textId="485B9FA4" w:rsidR="004179C6"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726A68">
        <w:rPr>
          <w:rFonts w:ascii="Times New Roman" w:eastAsia="Times New Roman" w:hAnsi="Times New Roman"/>
          <w:sz w:val="24"/>
          <w:szCs w:val="24"/>
          <w:lang w:val="lv-LV" w:eastAsia="lv-LV"/>
        </w:rPr>
        <w:t>Liene Neimane</w:t>
      </w: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441C" w14:textId="77777777" w:rsidR="00E150A9" w:rsidRDefault="00E150A9">
      <w:pPr>
        <w:spacing w:after="0" w:line="240" w:lineRule="auto"/>
      </w:pPr>
      <w:r>
        <w:separator/>
      </w:r>
    </w:p>
  </w:endnote>
  <w:endnote w:type="continuationSeparator" w:id="0">
    <w:p w14:paraId="163939A4" w14:textId="77777777" w:rsidR="00E150A9" w:rsidRDefault="00E15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7392" w14:textId="77777777" w:rsidR="00E150A9" w:rsidRDefault="00E150A9">
      <w:pPr>
        <w:spacing w:after="0" w:line="240" w:lineRule="auto"/>
      </w:pPr>
      <w:r>
        <w:separator/>
      </w:r>
    </w:p>
  </w:footnote>
  <w:footnote w:type="continuationSeparator" w:id="0">
    <w:p w14:paraId="599717AA" w14:textId="77777777" w:rsidR="00E150A9" w:rsidRDefault="00E15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22CF"/>
    <w:rsid w:val="000445AA"/>
    <w:rsid w:val="00053444"/>
    <w:rsid w:val="00063A6C"/>
    <w:rsid w:val="00064A07"/>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1953"/>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5747"/>
    <w:rsid w:val="00195D84"/>
    <w:rsid w:val="0019647C"/>
    <w:rsid w:val="001A7513"/>
    <w:rsid w:val="001B274D"/>
    <w:rsid w:val="001B380A"/>
    <w:rsid w:val="001B63AF"/>
    <w:rsid w:val="001C048F"/>
    <w:rsid w:val="001C372D"/>
    <w:rsid w:val="001C6EAC"/>
    <w:rsid w:val="001D1536"/>
    <w:rsid w:val="001E1B74"/>
    <w:rsid w:val="001E3EB5"/>
    <w:rsid w:val="001F024A"/>
    <w:rsid w:val="001F2539"/>
    <w:rsid w:val="00201876"/>
    <w:rsid w:val="00202679"/>
    <w:rsid w:val="00205315"/>
    <w:rsid w:val="00205D4F"/>
    <w:rsid w:val="0021400F"/>
    <w:rsid w:val="00221B48"/>
    <w:rsid w:val="00226EA7"/>
    <w:rsid w:val="00235AAA"/>
    <w:rsid w:val="002372D8"/>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05B7F"/>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3F5341"/>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A47D0"/>
    <w:rsid w:val="004B2741"/>
    <w:rsid w:val="004B29C1"/>
    <w:rsid w:val="004D01D3"/>
    <w:rsid w:val="004D450D"/>
    <w:rsid w:val="004E3710"/>
    <w:rsid w:val="004E6BA4"/>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0051"/>
    <w:rsid w:val="00582F04"/>
    <w:rsid w:val="0058511C"/>
    <w:rsid w:val="00591939"/>
    <w:rsid w:val="00595C8C"/>
    <w:rsid w:val="00596DD6"/>
    <w:rsid w:val="005A61B5"/>
    <w:rsid w:val="005A695D"/>
    <w:rsid w:val="005A6C78"/>
    <w:rsid w:val="005B5B5D"/>
    <w:rsid w:val="005C0FE5"/>
    <w:rsid w:val="005C38DB"/>
    <w:rsid w:val="005D1806"/>
    <w:rsid w:val="005D1CF0"/>
    <w:rsid w:val="005E3C4E"/>
    <w:rsid w:val="005F4721"/>
    <w:rsid w:val="005F52B8"/>
    <w:rsid w:val="005F6E4F"/>
    <w:rsid w:val="006035C1"/>
    <w:rsid w:val="00603C05"/>
    <w:rsid w:val="006058AE"/>
    <w:rsid w:val="006068AA"/>
    <w:rsid w:val="00612FB3"/>
    <w:rsid w:val="006164FC"/>
    <w:rsid w:val="006367A2"/>
    <w:rsid w:val="006456B7"/>
    <w:rsid w:val="00663C3A"/>
    <w:rsid w:val="006719CF"/>
    <w:rsid w:val="006877E8"/>
    <w:rsid w:val="0069116F"/>
    <w:rsid w:val="006965CA"/>
    <w:rsid w:val="006A0CC6"/>
    <w:rsid w:val="006A2252"/>
    <w:rsid w:val="006A7C56"/>
    <w:rsid w:val="006B3C98"/>
    <w:rsid w:val="006B6EC4"/>
    <w:rsid w:val="006C2746"/>
    <w:rsid w:val="006D3EEA"/>
    <w:rsid w:val="006E0953"/>
    <w:rsid w:val="006E19F4"/>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0020"/>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075B"/>
    <w:rsid w:val="008B2051"/>
    <w:rsid w:val="008C3D52"/>
    <w:rsid w:val="008D5A2C"/>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4A69"/>
    <w:rsid w:val="009851AB"/>
    <w:rsid w:val="009863D5"/>
    <w:rsid w:val="00990A11"/>
    <w:rsid w:val="00997670"/>
    <w:rsid w:val="009A1ED8"/>
    <w:rsid w:val="009B3A35"/>
    <w:rsid w:val="009B4D54"/>
    <w:rsid w:val="009B7084"/>
    <w:rsid w:val="009B7E7F"/>
    <w:rsid w:val="009C4082"/>
    <w:rsid w:val="009C49C4"/>
    <w:rsid w:val="009D0E29"/>
    <w:rsid w:val="009D3FE4"/>
    <w:rsid w:val="009D686D"/>
    <w:rsid w:val="009F6A76"/>
    <w:rsid w:val="00A07955"/>
    <w:rsid w:val="00A1450A"/>
    <w:rsid w:val="00A21225"/>
    <w:rsid w:val="00A2759B"/>
    <w:rsid w:val="00A30F45"/>
    <w:rsid w:val="00A34987"/>
    <w:rsid w:val="00A3728F"/>
    <w:rsid w:val="00A37CAD"/>
    <w:rsid w:val="00A45265"/>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1598"/>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050B"/>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50A9"/>
    <w:rsid w:val="00E16FA9"/>
    <w:rsid w:val="00E20059"/>
    <w:rsid w:val="00E24CB1"/>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4A80"/>
    <w:rsid w:val="00EC2C44"/>
    <w:rsid w:val="00ED0405"/>
    <w:rsid w:val="00ED0D05"/>
    <w:rsid w:val="00ED20C8"/>
    <w:rsid w:val="00ED7BFC"/>
    <w:rsid w:val="00EE35D0"/>
    <w:rsid w:val="00EF0D2C"/>
    <w:rsid w:val="00EF165D"/>
    <w:rsid w:val="00EF2309"/>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C94"/>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A30F4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A30F45"/>
  </w:style>
  <w:style w:type="character" w:customStyle="1" w:styleId="eop">
    <w:name w:val="eop"/>
    <w:basedOn w:val="DefaultParagraphFont"/>
    <w:rsid w:val="00A30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5430</Characters>
  <Application>Microsoft Office Word</Application>
  <DocSecurity>0</DocSecurity>
  <Lines>95</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6186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neimane@neimanepartners.com</dc:creator>
  <cp:lastModifiedBy>Inta Bērante-Sukaruka</cp:lastModifiedBy>
  <cp:revision>2</cp:revision>
  <cp:lastPrinted>2021-12-06T11:50:00Z</cp:lastPrinted>
  <dcterms:created xsi:type="dcterms:W3CDTF">2026-06-02T13:22:00Z</dcterms:created>
  <dcterms:modified xsi:type="dcterms:W3CDTF">2026-06-02T13:22:00Z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