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AF2A" w14:textId="3FA094AF" w:rsidR="0019335F" w:rsidRDefault="00597321" w:rsidP="0019335F">
      <w:pPr>
        <w:widowControl/>
        <w:spacing w:after="120" w:line="240" w:lineRule="auto"/>
        <w:ind w:left="5103"/>
        <w:rPr>
          <w:rFonts w:ascii="Times New Roman" w:eastAsia="Times New Roman" w:hAnsi="Times New Roman"/>
          <w:b/>
          <w:noProof/>
          <w:sz w:val="24"/>
          <w:szCs w:val="24"/>
          <w:lang w:val="lv-LV"/>
        </w:rPr>
      </w:pPr>
      <w:bookmarkStart w:id="0" w:name="_Hlk129357906"/>
      <w:bookmarkStart w:id="1" w:name="_Hlk83121370"/>
      <w:r>
        <w:rPr>
          <w:rFonts w:ascii="Times New Roman" w:eastAsia="Times New Roman" w:hAnsi="Times New Roman"/>
          <w:b/>
          <w:noProof/>
          <w:sz w:val="24"/>
          <w:szCs w:val="24"/>
          <w:lang w:val="lv-LV"/>
        </w:rPr>
        <w:t>patērētājs</w:t>
      </w:r>
    </w:p>
    <w:p w14:paraId="48646A01" w14:textId="77777777" w:rsidR="001A776D" w:rsidRPr="002A0011" w:rsidRDefault="001A776D" w:rsidP="0019335F">
      <w:pPr>
        <w:widowControl/>
        <w:spacing w:after="120" w:line="240" w:lineRule="auto"/>
        <w:ind w:left="5103"/>
        <w:rPr>
          <w:rFonts w:ascii="Times New Roman" w:eastAsia="Times New Roman" w:hAnsi="Times New Roman"/>
          <w:b/>
          <w:noProof/>
          <w:sz w:val="24"/>
          <w:szCs w:val="24"/>
          <w:lang w:val="lv-LV"/>
        </w:rPr>
      </w:pPr>
    </w:p>
    <w:p w14:paraId="3AC0C895" w14:textId="77777777" w:rsidR="0019335F" w:rsidRPr="002A0011" w:rsidRDefault="0019335F" w:rsidP="0019335F">
      <w:pPr>
        <w:widowControl/>
        <w:spacing w:after="0" w:line="240" w:lineRule="auto"/>
        <w:ind w:left="5103"/>
        <w:rPr>
          <w:rFonts w:ascii="Times New Roman" w:eastAsia="Times New Roman" w:hAnsi="Times New Roman"/>
          <w:b/>
          <w:noProof/>
          <w:sz w:val="24"/>
          <w:szCs w:val="24"/>
          <w:lang w:val="lv-LV"/>
        </w:rPr>
      </w:pPr>
      <w:r w:rsidRPr="002A0011">
        <w:rPr>
          <w:rFonts w:ascii="Times New Roman" w:eastAsia="Times New Roman" w:hAnsi="Times New Roman"/>
          <w:b/>
          <w:noProof/>
          <w:sz w:val="24"/>
          <w:szCs w:val="24"/>
          <w:lang w:val="lv-LV"/>
        </w:rPr>
        <w:t>SIA “C128”</w:t>
      </w:r>
    </w:p>
    <w:p w14:paraId="10DBCC4E" w14:textId="77777777" w:rsidR="0019335F" w:rsidRPr="002A0011" w:rsidRDefault="0019335F" w:rsidP="0019335F">
      <w:pPr>
        <w:widowControl/>
        <w:spacing w:after="0" w:line="240" w:lineRule="auto"/>
        <w:ind w:left="5103"/>
        <w:rPr>
          <w:rFonts w:ascii="Times New Roman" w:eastAsia="Times New Roman" w:hAnsi="Times New Roman"/>
          <w:b/>
          <w:noProof/>
          <w:sz w:val="24"/>
          <w:szCs w:val="24"/>
          <w:lang w:val="lv-LV"/>
        </w:rPr>
      </w:pPr>
      <w:r w:rsidRPr="002A0011">
        <w:rPr>
          <w:rFonts w:ascii="Times New Roman" w:eastAsia="Times New Roman" w:hAnsi="Times New Roman"/>
          <w:b/>
          <w:noProof/>
          <w:sz w:val="24"/>
          <w:szCs w:val="24"/>
          <w:lang w:val="lv-LV"/>
        </w:rPr>
        <w:t>Reģ. Nr. 40203011507</w:t>
      </w:r>
    </w:p>
    <w:p w14:paraId="5B398D73" w14:textId="77777777" w:rsidR="0019335F" w:rsidRPr="00D659EB" w:rsidRDefault="0019335F" w:rsidP="0019335F">
      <w:pPr>
        <w:widowControl/>
        <w:spacing w:after="0" w:line="240" w:lineRule="auto"/>
        <w:ind w:left="5103"/>
        <w:rPr>
          <w:rFonts w:ascii="Times New Roman" w:eastAsia="Times New Roman" w:hAnsi="Times New Roman"/>
          <w:b/>
          <w:noProof/>
          <w:sz w:val="24"/>
          <w:szCs w:val="24"/>
          <w:lang w:val="lv-LV"/>
        </w:rPr>
      </w:pPr>
      <w:r w:rsidRPr="002A0011">
        <w:rPr>
          <w:rFonts w:ascii="Times New Roman" w:eastAsia="Times New Roman" w:hAnsi="Times New Roman"/>
          <w:b/>
          <w:noProof/>
          <w:sz w:val="24"/>
          <w:szCs w:val="24"/>
          <w:lang w:val="lv-LV"/>
        </w:rPr>
        <w:t>purpur@purpur.lv</w:t>
      </w:r>
    </w:p>
    <w:p w14:paraId="34D4128A" w14:textId="0BF9092F" w:rsidR="009C2725" w:rsidRPr="005A08C3" w:rsidRDefault="009C2725" w:rsidP="001C37FD">
      <w:pPr>
        <w:rPr>
          <w:lang w:val="lv-LV"/>
        </w:rPr>
      </w:pPr>
    </w:p>
    <w:p w14:paraId="46D81079" w14:textId="77777777" w:rsidR="009C2725" w:rsidRDefault="009C2725" w:rsidP="009C2725">
      <w:pPr>
        <w:widowControl/>
        <w:spacing w:before="360" w:after="0" w:line="240" w:lineRule="auto"/>
        <w:jc w:val="center"/>
        <w:rPr>
          <w:rFonts w:ascii="Times New Roman" w:eastAsia="Times New Roman" w:hAnsi="Times New Roman"/>
          <w:b/>
          <w:sz w:val="24"/>
          <w:lang w:val="lv-LV" w:eastAsia="lv-LV"/>
        </w:rPr>
      </w:pPr>
      <w:bookmarkStart w:id="2" w:name="_Hlk172731812"/>
      <w:r>
        <w:rPr>
          <w:rFonts w:ascii="Times New Roman" w:eastAsia="Times New Roman" w:hAnsi="Times New Roman"/>
          <w:b/>
          <w:sz w:val="24"/>
          <w:lang w:val="lv-LV" w:eastAsia="lv-LV"/>
        </w:rPr>
        <w:t>Lēmums</w:t>
      </w:r>
    </w:p>
    <w:p w14:paraId="69FCD1B7"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par strīdu</w:t>
      </w:r>
    </w:p>
    <w:p w14:paraId="23063891"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sz w:val="24"/>
          <w:lang w:val="lv-LV" w:eastAsia="lv-LV"/>
        </w:rPr>
        <w:t>Rīgā</w:t>
      </w:r>
    </w:p>
    <w:p w14:paraId="40B4D969" w14:textId="016D84DA" w:rsidR="009C2725" w:rsidRDefault="009C2725" w:rsidP="009C2725">
      <w:pPr>
        <w:widowControl/>
        <w:tabs>
          <w:tab w:val="left" w:pos="6521"/>
        </w:tabs>
        <w:spacing w:before="360" w:after="0" w:line="240" w:lineRule="auto"/>
        <w:jc w:val="both"/>
        <w:rPr>
          <w:rFonts w:ascii="Times New Roman" w:eastAsia="Times New Roman" w:hAnsi="Times New Roman"/>
          <w:sz w:val="24"/>
          <w:lang w:val="lv-LV" w:eastAsia="lv-LV"/>
        </w:rPr>
      </w:pPr>
      <w:bookmarkStart w:id="3" w:name="_Hlk136345285"/>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8444A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gada </w:t>
      </w:r>
      <w:r w:rsidR="001C37FD">
        <w:rPr>
          <w:rFonts w:ascii="Times New Roman" w:eastAsia="Times New Roman" w:hAnsi="Times New Roman"/>
          <w:sz w:val="24"/>
          <w:lang w:val="lv-LV" w:eastAsia="lv-LV"/>
        </w:rPr>
        <w:t>6</w:t>
      </w:r>
      <w:r w:rsidR="001A1B3E">
        <w:rPr>
          <w:rFonts w:ascii="Times New Roman" w:eastAsia="Times New Roman" w:hAnsi="Times New Roman"/>
          <w:sz w:val="24"/>
          <w:lang w:val="lv-LV" w:eastAsia="lv-LV"/>
        </w:rPr>
        <w:t>.</w:t>
      </w:r>
      <w:r w:rsidR="008444AC">
        <w:rPr>
          <w:rFonts w:ascii="Times New Roman" w:eastAsia="Times New Roman" w:hAnsi="Times New Roman"/>
          <w:sz w:val="24"/>
          <w:lang w:val="lv-LV" w:eastAsia="lv-LV"/>
        </w:rPr>
        <w:t xml:space="preserve"> </w:t>
      </w:r>
      <w:r w:rsidR="001C37FD">
        <w:rPr>
          <w:rFonts w:ascii="Times New Roman" w:eastAsia="Times New Roman" w:hAnsi="Times New Roman"/>
          <w:sz w:val="24"/>
          <w:lang w:val="lv-LV" w:eastAsia="lv-LV"/>
        </w:rPr>
        <w:t>maijā</w:t>
      </w:r>
      <w:r>
        <w:rPr>
          <w:rFonts w:ascii="Times New Roman" w:eastAsia="Times New Roman" w:hAnsi="Times New Roman"/>
          <w:sz w:val="24"/>
          <w:lang w:val="lv-LV" w:eastAsia="lv-LV"/>
        </w:rPr>
        <w:tab/>
        <w:t>Nr.</w:t>
      </w:r>
      <w:r w:rsidR="008444A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sidR="000334AF">
        <w:rPr>
          <w:rFonts w:ascii="Times New Roman" w:eastAsia="Times New Roman" w:hAnsi="Times New Roman"/>
          <w:sz w:val="24"/>
          <w:lang w:val="lv-LV" w:eastAsia="lv-LV"/>
        </w:rPr>
        <w:t>/104-</w:t>
      </w:r>
      <w:r>
        <w:rPr>
          <w:rFonts w:ascii="Times New Roman" w:eastAsia="Times New Roman" w:hAnsi="Times New Roman"/>
          <w:sz w:val="24"/>
          <w:lang w:val="lv-LV" w:eastAsia="lv-LV"/>
        </w:rPr>
        <w:t>psrk</w:t>
      </w:r>
    </w:p>
    <w:p w14:paraId="7505569A" w14:textId="77777777" w:rsidR="009C2725" w:rsidRDefault="009C2725" w:rsidP="009C2725">
      <w:pPr>
        <w:widowControl/>
        <w:spacing w:before="36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68D83A65" w14:textId="250456D8" w:rsidR="009C2725" w:rsidRDefault="009C2725" w:rsidP="009C2725">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priekšsēdētāja </w:t>
      </w:r>
      <w:r w:rsidR="001A1B3E">
        <w:rPr>
          <w:rFonts w:ascii="Times New Roman" w:eastAsia="Times New Roman" w:hAnsi="Times New Roman"/>
          <w:sz w:val="24"/>
          <w:lang w:val="lv-LV" w:eastAsia="lv-LV"/>
        </w:rPr>
        <w:t>L</w:t>
      </w:r>
      <w:r w:rsidR="004047EC">
        <w:rPr>
          <w:rFonts w:ascii="Times New Roman" w:eastAsia="Times New Roman" w:hAnsi="Times New Roman"/>
          <w:sz w:val="24"/>
          <w:lang w:val="lv-LV" w:eastAsia="lv-LV"/>
        </w:rPr>
        <w:t xml:space="preserve">iene </w:t>
      </w:r>
      <w:r w:rsidR="001A1B3E">
        <w:rPr>
          <w:rFonts w:ascii="Times New Roman" w:eastAsia="Times New Roman" w:hAnsi="Times New Roman"/>
          <w:sz w:val="24"/>
          <w:lang w:val="lv-LV" w:eastAsia="lv-LV"/>
        </w:rPr>
        <w:t>Neimane</w:t>
      </w:r>
    </w:p>
    <w:p w14:paraId="136D61CA" w14:textId="52D0B3F9" w:rsidR="001C37FD" w:rsidRPr="006567C6" w:rsidRDefault="001C37FD" w:rsidP="001C37FD">
      <w:pPr>
        <w:spacing w:after="0" w:line="240" w:lineRule="auto"/>
        <w:ind w:firstLine="709"/>
        <w:jc w:val="both"/>
        <w:rPr>
          <w:rFonts w:ascii="Times New Roman" w:hAnsi="Times New Roman"/>
          <w:sz w:val="24"/>
          <w:szCs w:val="24"/>
          <w:lang w:val="lv-LV"/>
        </w:rPr>
      </w:pPr>
      <w:r w:rsidRPr="006567C6">
        <w:rPr>
          <w:rFonts w:ascii="Times New Roman" w:hAnsi="Times New Roman"/>
          <w:sz w:val="24"/>
          <w:szCs w:val="24"/>
          <w:lang w:val="lv-LV"/>
        </w:rPr>
        <w:t xml:space="preserve">Komisijas locekļi Andrejs Vanags kā patērētāju interešu pārstāvis un </w:t>
      </w:r>
      <w:r>
        <w:rPr>
          <w:rFonts w:ascii="Times New Roman" w:hAnsi="Times New Roman"/>
          <w:sz w:val="24"/>
          <w:szCs w:val="24"/>
          <w:lang w:val="lv-LV"/>
        </w:rPr>
        <w:t>Ieva Erele</w:t>
      </w:r>
      <w:r w:rsidRPr="006567C6">
        <w:rPr>
          <w:rFonts w:ascii="Times New Roman" w:hAnsi="Times New Roman"/>
          <w:sz w:val="24"/>
          <w:szCs w:val="24"/>
          <w:lang w:val="lv-LV"/>
        </w:rPr>
        <w:t xml:space="preserve"> kā komersantu interešu pārstāvis,</w:t>
      </w:r>
    </w:p>
    <w:p w14:paraId="5BE536D9" w14:textId="606DDF7D" w:rsidR="0019335F" w:rsidRDefault="009C2725" w:rsidP="0019335F">
      <w:pPr>
        <w:widowControl/>
        <w:suppressAutoHyphens/>
        <w:spacing w:after="0" w:line="240" w:lineRule="auto"/>
        <w:jc w:val="both"/>
        <w:rPr>
          <w:rFonts w:ascii="Times New Roman" w:hAnsi="Times New Roman"/>
          <w:color w:val="000000" w:themeColor="text1"/>
          <w:sz w:val="24"/>
          <w:szCs w:val="24"/>
          <w:lang w:val="lv-LV"/>
        </w:rPr>
      </w:pPr>
      <w:r>
        <w:rPr>
          <w:rFonts w:ascii="Times New Roman" w:eastAsia="Times New Roman" w:hAnsi="Times New Roman"/>
          <w:sz w:val="24"/>
          <w:lang w:val="lv-LV" w:eastAsia="lv-LV"/>
        </w:rPr>
        <w:t xml:space="preserve">izskatīja rakstveida procesā strīdu starp </w:t>
      </w:r>
      <w:r w:rsidR="0019335F">
        <w:rPr>
          <w:rFonts w:ascii="Times New Roman" w:hAnsi="Times New Roman"/>
          <w:sz w:val="24"/>
          <w:szCs w:val="24"/>
          <w:lang w:val="lv-LV"/>
        </w:rPr>
        <w:t>p</w:t>
      </w:r>
      <w:r w:rsidR="0019335F" w:rsidRPr="0019335F">
        <w:rPr>
          <w:rFonts w:ascii="Times New Roman" w:hAnsi="Times New Roman"/>
          <w:sz w:val="24"/>
          <w:szCs w:val="24"/>
          <w:lang w:val="lv-LV"/>
        </w:rPr>
        <w:t>atērētāj</w:t>
      </w:r>
      <w:r w:rsidR="00597321">
        <w:rPr>
          <w:rFonts w:ascii="Times New Roman" w:hAnsi="Times New Roman"/>
          <w:sz w:val="24"/>
          <w:szCs w:val="24"/>
          <w:lang w:val="lv-LV"/>
        </w:rPr>
        <w:t>u</w:t>
      </w:r>
      <w:r w:rsidR="0019335F" w:rsidRPr="0019335F">
        <w:rPr>
          <w:rFonts w:ascii="Times New Roman" w:hAnsi="Times New Roman"/>
          <w:sz w:val="24"/>
          <w:szCs w:val="24"/>
          <w:lang w:val="lv-LV"/>
        </w:rPr>
        <w:t xml:space="preserve"> iesniegumu par SIA “C128” (turpmāk – </w:t>
      </w:r>
      <w:r w:rsidR="0019335F">
        <w:rPr>
          <w:rFonts w:ascii="Times New Roman" w:hAnsi="Times New Roman"/>
          <w:sz w:val="24"/>
          <w:szCs w:val="24"/>
          <w:lang w:val="lv-LV"/>
        </w:rPr>
        <w:t>s</w:t>
      </w:r>
      <w:r w:rsidR="0019335F" w:rsidRPr="0019335F">
        <w:rPr>
          <w:rFonts w:ascii="Times New Roman" w:hAnsi="Times New Roman"/>
          <w:sz w:val="24"/>
          <w:szCs w:val="24"/>
          <w:lang w:val="lv-LV"/>
        </w:rPr>
        <w:t xml:space="preserve">abiedrība) </w:t>
      </w:r>
      <w:r w:rsidRPr="0019335F">
        <w:rPr>
          <w:rFonts w:ascii="Times New Roman" w:eastAsia="Times New Roman" w:hAnsi="Times New Roman"/>
          <w:sz w:val="24"/>
          <w:szCs w:val="24"/>
          <w:lang w:val="lv-LV"/>
        </w:rPr>
        <w:t>sa</w:t>
      </w:r>
      <w:r>
        <w:rPr>
          <w:rFonts w:ascii="Times New Roman" w:eastAsia="Times New Roman" w:hAnsi="Times New Roman"/>
          <w:sz w:val="24"/>
          <w:szCs w:val="24"/>
          <w:lang w:val="lv-LV"/>
        </w:rPr>
        <w:t xml:space="preserve">istībā ar </w:t>
      </w:r>
      <w:r w:rsidR="000334AF" w:rsidRPr="0019335F">
        <w:rPr>
          <w:rFonts w:ascii="Times New Roman" w:hAnsi="Times New Roman"/>
          <w:color w:val="000000" w:themeColor="text1"/>
          <w:sz w:val="24"/>
          <w:szCs w:val="24"/>
          <w:lang w:val="lv-LV"/>
        </w:rPr>
        <w:t>iegādā</w:t>
      </w:r>
      <w:r w:rsidR="000334AF">
        <w:rPr>
          <w:rFonts w:ascii="Times New Roman" w:hAnsi="Times New Roman"/>
          <w:color w:val="000000" w:themeColor="text1"/>
          <w:sz w:val="24"/>
          <w:szCs w:val="24"/>
          <w:lang w:val="lv-LV"/>
        </w:rPr>
        <w:t>to</w:t>
      </w:r>
      <w:r w:rsidR="000334AF" w:rsidRPr="0019335F">
        <w:rPr>
          <w:rFonts w:ascii="Times New Roman" w:hAnsi="Times New Roman"/>
          <w:color w:val="000000" w:themeColor="text1"/>
          <w:sz w:val="24"/>
          <w:szCs w:val="24"/>
          <w:lang w:val="lv-LV"/>
        </w:rPr>
        <w:t xml:space="preserve"> </w:t>
      </w:r>
      <w:r w:rsidR="0019335F" w:rsidRPr="0019335F">
        <w:rPr>
          <w:rFonts w:ascii="Times New Roman" w:hAnsi="Times New Roman"/>
          <w:color w:val="000000" w:themeColor="text1"/>
          <w:sz w:val="24"/>
          <w:szCs w:val="24"/>
          <w:lang w:val="lv-LV"/>
        </w:rPr>
        <w:t>dīvānu "STUDIO L FORM LEFT. BERGAMO 739/01. DECO SW BEIGE. BOURBON 746/02" par kopējo summu 2</w:t>
      </w:r>
      <w:r w:rsidR="0019335F">
        <w:rPr>
          <w:rFonts w:ascii="Times New Roman" w:hAnsi="Times New Roman"/>
          <w:color w:val="000000" w:themeColor="text1"/>
          <w:sz w:val="24"/>
          <w:szCs w:val="24"/>
          <w:lang w:val="lv-LV"/>
        </w:rPr>
        <w:t> </w:t>
      </w:r>
      <w:r w:rsidR="0019335F" w:rsidRPr="0019335F">
        <w:rPr>
          <w:rFonts w:ascii="Times New Roman" w:hAnsi="Times New Roman"/>
          <w:color w:val="000000" w:themeColor="text1"/>
          <w:sz w:val="24"/>
          <w:szCs w:val="24"/>
          <w:lang w:val="lv-LV"/>
        </w:rPr>
        <w:t>615,00</w:t>
      </w:r>
      <w:r w:rsidR="0019335F">
        <w:rPr>
          <w:rFonts w:ascii="Times New Roman" w:hAnsi="Times New Roman"/>
          <w:color w:val="000000" w:themeColor="text1"/>
          <w:sz w:val="24"/>
          <w:szCs w:val="24"/>
          <w:lang w:val="lv-LV"/>
        </w:rPr>
        <w:t> </w:t>
      </w:r>
      <w:r w:rsidR="0019335F" w:rsidRPr="0019335F">
        <w:rPr>
          <w:rFonts w:ascii="Times New Roman" w:hAnsi="Times New Roman"/>
          <w:color w:val="000000" w:themeColor="text1"/>
          <w:sz w:val="24"/>
          <w:szCs w:val="24"/>
          <w:lang w:val="lv-LV"/>
        </w:rPr>
        <w:t>EUR</w:t>
      </w:r>
      <w:r w:rsidR="0019335F">
        <w:rPr>
          <w:rFonts w:ascii="Times New Roman" w:hAnsi="Times New Roman"/>
          <w:color w:val="000000" w:themeColor="text1"/>
          <w:sz w:val="24"/>
          <w:szCs w:val="24"/>
          <w:lang w:val="lv-LV"/>
        </w:rPr>
        <w:t>.</w:t>
      </w:r>
    </w:p>
    <w:p w14:paraId="6FAC822F" w14:textId="2A8A3A53" w:rsidR="0019335F" w:rsidRDefault="0019335F" w:rsidP="0019335F">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9335F">
        <w:rPr>
          <w:rFonts w:ascii="Times New Roman" w:eastAsia="Times New Roman" w:hAnsi="Times New Roman"/>
          <w:sz w:val="24"/>
          <w:szCs w:val="24"/>
          <w:lang w:val="lv-LV"/>
        </w:rPr>
        <w:t>No lietas materiāliem izriet, ka 2025. gada 15. decembrī patērētājs no sabiedrības iegādājās dīvānu par kopējo summu 2615,00 EUR. Dīvāna piegāde tika veikta 2025. gada 18. decembrī, un tas patērētāja dzīvoklī tika piegādāts jau saliktā veidā, sabiedrības pārstāvjiem to ienesot dzīvoklī un novietojot istabā.</w:t>
      </w:r>
      <w:r>
        <w:rPr>
          <w:rFonts w:ascii="Times New Roman" w:eastAsia="Times New Roman" w:hAnsi="Times New Roman"/>
          <w:sz w:val="24"/>
          <w:szCs w:val="24"/>
          <w:lang w:val="lv-LV"/>
        </w:rPr>
        <w:t xml:space="preserve"> </w:t>
      </w:r>
      <w:r w:rsidRPr="0019335F">
        <w:rPr>
          <w:rFonts w:ascii="Times New Roman" w:eastAsia="Times New Roman" w:hAnsi="Times New Roman"/>
          <w:sz w:val="24"/>
          <w:szCs w:val="24"/>
          <w:lang w:val="lv-LV"/>
        </w:rPr>
        <w:t>Pēc dīvāna apskates tajā pašā dienā patērētājs konstatēja, ka vienam no dīvāna moduļiem ir defekts – metāla kāja nav novietota 90 grādu leņķī pret pamatni, tā ir deformēta pa ass garumu, kā arī metinājuma vietā ir redzami caurumi un plaisa. Patērētāja ieskatā minētais defekts var ietekmēt dīvāna konstrukcijas izturību un drošību.</w:t>
      </w:r>
      <w:r>
        <w:rPr>
          <w:rFonts w:ascii="Times New Roman" w:eastAsia="Times New Roman" w:hAnsi="Times New Roman"/>
          <w:sz w:val="24"/>
          <w:szCs w:val="24"/>
          <w:lang w:val="lv-LV"/>
        </w:rPr>
        <w:t xml:space="preserve"> 2025. g</w:t>
      </w:r>
      <w:r w:rsidRPr="0019335F">
        <w:rPr>
          <w:rFonts w:ascii="Times New Roman" w:eastAsia="Times New Roman" w:hAnsi="Times New Roman"/>
          <w:sz w:val="24"/>
          <w:szCs w:val="24"/>
          <w:lang w:val="lv-LV"/>
        </w:rPr>
        <w:t>ada 18. decembrī patērētājs informēja sabiedrību par konstatēto defektu, nosūtot e-pasta vēstuli, kā arī vēlāk iesniedzot fotogrāfijas, kurās redzams minētais bojājums. Sabiedrība sniedza atbildi, norādot, ka defekts, iespējams, radies neprofesionālas montāžas rezultātā, kā arī, ka patērētājam esot tikusi piedāvāta preces izpakošana un montāža, no kuras patērētājs esot atteicies. Savukārt patērētājs norāda, ka dīvāns tika piegādāts jau saliktā veidā un papildu montāža nebija nepieciešama, kā arī šāda pakalpojuma piedāvājums netika izteikts. Patērētāja ieskatā konstatētais bojājums ir uzskatāms par ražošanas defektu, nevis lietošanas vai montāžas rezultātu. Ņemot vērā minēto, patērētājs lūdz sabiedrību nodrošināt bojātās dīvāna konstrukcijas daļas (metāla rāmja ar kājām) nomaiņu pret jaunu.</w:t>
      </w:r>
      <w:r>
        <w:rPr>
          <w:rFonts w:ascii="Times New Roman" w:eastAsia="Times New Roman" w:hAnsi="Times New Roman"/>
          <w:sz w:val="24"/>
          <w:szCs w:val="24"/>
          <w:lang w:val="lv-LV"/>
        </w:rPr>
        <w:t xml:space="preserve"> </w:t>
      </w:r>
    </w:p>
    <w:p w14:paraId="762D6E5F" w14:textId="326E3AC4" w:rsidR="0019335F" w:rsidRDefault="0019335F" w:rsidP="0019335F">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9335F">
        <w:rPr>
          <w:rFonts w:ascii="Times New Roman" w:eastAsia="Times New Roman" w:hAnsi="Times New Roman"/>
          <w:sz w:val="24"/>
          <w:szCs w:val="24"/>
          <w:lang w:val="lv-LV"/>
        </w:rPr>
        <w:t xml:space="preserve">Sabiedrība sniedza skaidrojumu, ka dīvāna piegādes laikā tas tika ienests </w:t>
      </w:r>
      <w:r w:rsidR="000334AF">
        <w:rPr>
          <w:rFonts w:ascii="Times New Roman" w:eastAsia="Times New Roman" w:hAnsi="Times New Roman"/>
          <w:sz w:val="24"/>
          <w:szCs w:val="24"/>
          <w:lang w:val="lv-LV"/>
        </w:rPr>
        <w:t>p</w:t>
      </w:r>
      <w:r w:rsidR="000334AF" w:rsidRPr="0019335F">
        <w:rPr>
          <w:rFonts w:ascii="Times New Roman" w:eastAsia="Times New Roman" w:hAnsi="Times New Roman"/>
          <w:sz w:val="24"/>
          <w:szCs w:val="24"/>
          <w:lang w:val="lv-LV"/>
        </w:rPr>
        <w:t xml:space="preserve">atērētāja </w:t>
      </w:r>
      <w:r w:rsidRPr="0019335F">
        <w:rPr>
          <w:rFonts w:ascii="Times New Roman" w:eastAsia="Times New Roman" w:hAnsi="Times New Roman"/>
          <w:sz w:val="24"/>
          <w:szCs w:val="24"/>
          <w:lang w:val="lv-LV"/>
        </w:rPr>
        <w:t xml:space="preserve">dzīvoklī un novietots telpā, un piegādes brīdī dīvānam netika konstatēti vizuāli bojājumi. Sabiedrība norāda, ka piegādes komanda nodrošināja vienīgi dīvāna piegādi līdz telpai, savukārt tā izpakošanu un novietošanu gala pozīcijā veica pats </w:t>
      </w:r>
      <w:r w:rsidR="000334AF">
        <w:rPr>
          <w:rFonts w:ascii="Times New Roman" w:eastAsia="Times New Roman" w:hAnsi="Times New Roman"/>
          <w:sz w:val="24"/>
          <w:szCs w:val="24"/>
          <w:lang w:val="lv-LV"/>
        </w:rPr>
        <w:t>p</w:t>
      </w:r>
      <w:r w:rsidR="000334AF" w:rsidRPr="0019335F">
        <w:rPr>
          <w:rFonts w:ascii="Times New Roman" w:eastAsia="Times New Roman" w:hAnsi="Times New Roman"/>
          <w:sz w:val="24"/>
          <w:szCs w:val="24"/>
          <w:lang w:val="lv-LV"/>
        </w:rPr>
        <w:t>atērētājs</w:t>
      </w:r>
      <w:r w:rsidRPr="0019335F">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w:t>
      </w:r>
      <w:r w:rsidRPr="0019335F">
        <w:rPr>
          <w:rFonts w:ascii="Times New Roman" w:eastAsia="Times New Roman" w:hAnsi="Times New Roman"/>
          <w:sz w:val="24"/>
          <w:szCs w:val="24"/>
          <w:lang w:val="lv-LV"/>
        </w:rPr>
        <w:t xml:space="preserve">Sabiedrība skaidro, ka konkrētais dīvāna modelis ir liela izmēra un ar ievērojamu svaru, un piegādes laikā tas tiek novietots transportēšanai paredzētā stāvoklī (uz gala). Lai dīvānu novietotu lietošanai </w:t>
      </w:r>
      <w:r w:rsidRPr="0019335F">
        <w:rPr>
          <w:rFonts w:ascii="Times New Roman" w:eastAsia="Times New Roman" w:hAnsi="Times New Roman"/>
          <w:sz w:val="24"/>
          <w:szCs w:val="24"/>
          <w:lang w:val="lv-LV"/>
        </w:rPr>
        <w:lastRenderedPageBreak/>
        <w:t xml:space="preserve">paredzētajā horizontālajā pozīcijā, tas, </w:t>
      </w:r>
      <w:r w:rsidR="000334AF">
        <w:rPr>
          <w:rFonts w:ascii="Times New Roman" w:eastAsia="Times New Roman" w:hAnsi="Times New Roman"/>
          <w:sz w:val="24"/>
          <w:szCs w:val="24"/>
          <w:lang w:val="lv-LV"/>
        </w:rPr>
        <w:t>s</w:t>
      </w:r>
      <w:r w:rsidR="000334AF" w:rsidRPr="0019335F">
        <w:rPr>
          <w:rFonts w:ascii="Times New Roman" w:eastAsia="Times New Roman" w:hAnsi="Times New Roman"/>
          <w:sz w:val="24"/>
          <w:szCs w:val="24"/>
          <w:lang w:val="lv-LV"/>
        </w:rPr>
        <w:t xml:space="preserve">abiedrības </w:t>
      </w:r>
      <w:r w:rsidRPr="0019335F">
        <w:rPr>
          <w:rFonts w:ascii="Times New Roman" w:eastAsia="Times New Roman" w:hAnsi="Times New Roman"/>
          <w:sz w:val="24"/>
          <w:szCs w:val="24"/>
          <w:lang w:val="lv-LV"/>
        </w:rPr>
        <w:t>ieskatā, ir jāpaceļ un jānoliek, nevis jāgāž vai jāvelk, balstot tā svaru uz kājām.</w:t>
      </w:r>
      <w:r>
        <w:rPr>
          <w:rFonts w:ascii="Times New Roman" w:eastAsia="Times New Roman" w:hAnsi="Times New Roman"/>
          <w:sz w:val="24"/>
          <w:szCs w:val="24"/>
          <w:lang w:val="lv-LV"/>
        </w:rPr>
        <w:t xml:space="preserve"> </w:t>
      </w:r>
      <w:r w:rsidRPr="0019335F">
        <w:rPr>
          <w:rFonts w:ascii="Times New Roman" w:eastAsia="Times New Roman" w:hAnsi="Times New Roman"/>
          <w:sz w:val="24"/>
          <w:szCs w:val="24"/>
          <w:lang w:val="lv-LV"/>
        </w:rPr>
        <w:t xml:space="preserve">Sabiedrības ieskatā </w:t>
      </w:r>
      <w:r w:rsidR="000334AF">
        <w:rPr>
          <w:rFonts w:ascii="Times New Roman" w:eastAsia="Times New Roman" w:hAnsi="Times New Roman"/>
          <w:sz w:val="24"/>
          <w:szCs w:val="24"/>
          <w:lang w:val="lv-LV"/>
        </w:rPr>
        <w:t>p</w:t>
      </w:r>
      <w:r w:rsidR="000334AF" w:rsidRPr="0019335F">
        <w:rPr>
          <w:rFonts w:ascii="Times New Roman" w:eastAsia="Times New Roman" w:hAnsi="Times New Roman"/>
          <w:sz w:val="24"/>
          <w:szCs w:val="24"/>
          <w:lang w:val="lv-LV"/>
        </w:rPr>
        <w:t xml:space="preserve">atērētāja </w:t>
      </w:r>
      <w:r w:rsidRPr="0019335F">
        <w:rPr>
          <w:rFonts w:ascii="Times New Roman" w:eastAsia="Times New Roman" w:hAnsi="Times New Roman"/>
          <w:sz w:val="24"/>
          <w:szCs w:val="24"/>
          <w:lang w:val="lv-LV"/>
        </w:rPr>
        <w:t xml:space="preserve">norādītais bojājums (metāla kājas deformācija) pēc sava rakstura ir mehāniskas iedarbības rezultāts, kas var rasties mēbeles pārvietošanas laikā. Ņemot vērā minēto, </w:t>
      </w:r>
      <w:r w:rsidR="000334AF">
        <w:rPr>
          <w:rFonts w:ascii="Times New Roman" w:eastAsia="Times New Roman" w:hAnsi="Times New Roman"/>
          <w:sz w:val="24"/>
          <w:szCs w:val="24"/>
          <w:lang w:val="lv-LV"/>
        </w:rPr>
        <w:t>s</w:t>
      </w:r>
      <w:r w:rsidR="000334AF" w:rsidRPr="0019335F">
        <w:rPr>
          <w:rFonts w:ascii="Times New Roman" w:eastAsia="Times New Roman" w:hAnsi="Times New Roman"/>
          <w:sz w:val="24"/>
          <w:szCs w:val="24"/>
          <w:lang w:val="lv-LV"/>
        </w:rPr>
        <w:t xml:space="preserve">abiedrība </w:t>
      </w:r>
      <w:r w:rsidRPr="0019335F">
        <w:rPr>
          <w:rFonts w:ascii="Times New Roman" w:eastAsia="Times New Roman" w:hAnsi="Times New Roman"/>
          <w:sz w:val="24"/>
          <w:szCs w:val="24"/>
          <w:lang w:val="lv-LV"/>
        </w:rPr>
        <w:t>uzskata, ka konstatētais bojājums radies pēc dīvāna piegādes tā pārvietošanas procesā un nav saistīts ar ražošanas nepilnībām, līdz ar to Patērētāja prasība nav pamatota.</w:t>
      </w:r>
    </w:p>
    <w:p w14:paraId="63E361C8" w14:textId="55482E78" w:rsidR="001A776D" w:rsidRPr="001A776D" w:rsidRDefault="001A776D" w:rsidP="001A776D">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Komisija skaidro, ka saskaņā ar Patērētāju tiesību aizsardzības likuma (turpmāk – PTAL) 13. panta pirmo un otro daļu pārdevēja pienākums ir nodrošināt preces atbilstību līguma noteikumiem, un pārdevējs ir atbildīgs par jebkuru preces neatbilstību, kas pastāv piegādes dienā un atklājas divu gadu laikā no preces piegādes dienas. Vienlaikus, atbilstoši PTAL 14.</w:t>
      </w:r>
      <w:r w:rsidR="00F777D6">
        <w:rPr>
          <w:rFonts w:ascii="Times New Roman" w:eastAsia="Times New Roman" w:hAnsi="Times New Roman"/>
          <w:sz w:val="24"/>
          <w:szCs w:val="24"/>
          <w:lang w:val="lv-LV"/>
        </w:rPr>
        <w:t> </w:t>
      </w:r>
      <w:r w:rsidRPr="001A776D">
        <w:rPr>
          <w:rFonts w:ascii="Times New Roman" w:eastAsia="Times New Roman" w:hAnsi="Times New Roman"/>
          <w:sz w:val="24"/>
          <w:szCs w:val="24"/>
          <w:lang w:val="lv-LV"/>
        </w:rPr>
        <w:t xml:space="preserve">panta pirmajai daļai, prece ir uzskatāma par līguma noteikumiem atbilstošu, ja tā atbilst pārdevēja sniegtajam aprakstam, veidam, daudzumam un kvalitātei, kā arī tai piemīt funkcionalitāte, saderība, </w:t>
      </w:r>
      <w:proofErr w:type="spellStart"/>
      <w:r w:rsidRPr="001A776D">
        <w:rPr>
          <w:rFonts w:ascii="Times New Roman" w:eastAsia="Times New Roman" w:hAnsi="Times New Roman"/>
          <w:sz w:val="24"/>
          <w:szCs w:val="24"/>
          <w:lang w:val="lv-LV"/>
        </w:rPr>
        <w:t>sadarbspēja</w:t>
      </w:r>
      <w:proofErr w:type="spellEnd"/>
      <w:r w:rsidRPr="001A776D">
        <w:rPr>
          <w:rFonts w:ascii="Times New Roman" w:eastAsia="Times New Roman" w:hAnsi="Times New Roman"/>
          <w:sz w:val="24"/>
          <w:szCs w:val="24"/>
          <w:lang w:val="lv-LV"/>
        </w:rPr>
        <w:t xml:space="preserve"> un citas raksturīgās īpašības.</w:t>
      </w:r>
    </w:p>
    <w:p w14:paraId="252B1F3B" w14:textId="77777777" w:rsidR="001A776D" w:rsidRPr="001A776D" w:rsidRDefault="001A776D" w:rsidP="001A776D">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Komisija norāda, ka saskaņā ar PTAL 13. panta trešo daļu gadījumos, kad preces neatbilstība tiek konstatēta viena gada laikā pēc piegādes, pastāv likumiskā prezumpcija, ka neatbilstība pastāvējusi jau piegādes brīdī, izņemot gadījumus, kad šāds pieņēmums nav savienojams ar preces raksturu vai neatbilstības veidu. Līdz ar to pierādīšanas pienākums šādā gadījumā gulstas uz pārdevēju.</w:t>
      </w:r>
    </w:p>
    <w:p w14:paraId="0259F1A7" w14:textId="77777777" w:rsidR="001A776D" w:rsidRPr="001A776D" w:rsidRDefault="001A776D" w:rsidP="001A776D">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Izvērtējot lietas materiālus, Komisija secina, ka strīds ir par to, vai patērētāja norādītais dīvāna metāla kājas bojājums (deformācija un nepilnīgs metinājums) pastāvēja jau piegādes brīdī vai arī tas radies pēc preces nodošanas patērētājam viņa rīcības rezultātā, kā to norāda sabiedrība. Ņemot vērā, ka neatbilstība tika konstatēta viena gada laikā pēc preces piegādes, sabiedrībai ir pienākums iesniegt objektīvus un pārbaudāmus pierādījumus, kas apliecinātu, ka minētais bojājums nepastāvēja piegādes brīdī un radies pēc preces nodošanas patērētājam, tostarp nepareizas pārvietošanas vai mehāniskas iedarbības rezultātā.</w:t>
      </w:r>
    </w:p>
    <w:p w14:paraId="4F9857A1" w14:textId="77777777" w:rsidR="001A776D" w:rsidRPr="001A776D" w:rsidRDefault="001A776D" w:rsidP="001A776D">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Komisijas ieskatā dīvāns neatbilst sabiedrības sniegtajam aprakstam un patērētāja pamatoti sagaidāmajai kvalitātei, līdz ar to tas ir uzskatāms par līguma noteikumiem neatbilstošu preci. Attiecīgi patērētājs ir tiesīgs prasīt, lai sabiedrība nodrošina preces atbilstību līguma noteikumiem.</w:t>
      </w:r>
    </w:p>
    <w:p w14:paraId="22668BAB" w14:textId="77777777" w:rsidR="001A776D" w:rsidRPr="001A776D" w:rsidRDefault="001A776D" w:rsidP="001A776D">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Saskaņā ar PTAL 28. panta otro daļu patērētājs vispirms ir tiesīgs prasīt, lai sabiedrība bez atlīdzības novērš preces neatbilstību līguma noteikumiem vai bez atlīdzības apmaina preci pret tādu, ar kuru tiek nodrošināta atbilstība līguma noteikumiem, izņemot gadījumus, kad tas nav iespējams vai būtu nesamērīgi. Savukārt PTAL 28. panta piektā daļa nosaka, ka patērētājam ir tiesības prasīt cenas samazinājumu vai līguma atcelšanu un samaksātās naudas summas atmaksu, ja preces neatbilstība netiek novērsta saprātīgā termiņā, ja patērētājam ir radītas būtiskas neērtības vai ja neatbilstība ir tik nozīmīga, ka tā attaisno tūlītēju līguma atcelšanu.</w:t>
      </w:r>
    </w:p>
    <w:p w14:paraId="5308D0DF" w14:textId="77777777" w:rsidR="001A776D" w:rsidRPr="001A776D" w:rsidRDefault="001A776D" w:rsidP="001A776D">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Komisija, izvērtējot lietā esošos materiālus, secina, ka konkrētajā gadījumā konstatētā neatbilstība ir novēršama, aizstājot bojāto dīvāna konstrukcijas daļu (metāla rāmi ar kājām). Līdz ar to patērētājam ir tiesības prasīt šīs neatbilstības novēršanu, savukārt sabiedrībai ir pienākums to veikt par saviem līdzekļiem.</w:t>
      </w:r>
    </w:p>
    <w:bookmarkEnd w:id="0"/>
    <w:bookmarkEnd w:id="1"/>
    <w:bookmarkEnd w:id="2"/>
    <w:bookmarkEnd w:id="3"/>
    <w:p w14:paraId="730306A3" w14:textId="49D13A8F" w:rsidR="001A776D" w:rsidRPr="005737F7" w:rsidRDefault="001A776D" w:rsidP="001A776D">
      <w:pPr>
        <w:widowControl/>
        <w:spacing w:after="0" w:line="240" w:lineRule="auto"/>
        <w:ind w:firstLine="720"/>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Ņemot vērā minēto, Komisija, pamatojoties uz Patērētāju tiesību aizsardzības likuma 26.</w:t>
      </w:r>
      <w:r w:rsidRPr="005737F7">
        <w:rPr>
          <w:rFonts w:ascii="Times New Roman" w:eastAsia="Times New Roman" w:hAnsi="Times New Roman"/>
          <w:sz w:val="24"/>
          <w:vertAlign w:val="superscript"/>
          <w:lang w:val="lv-LV" w:eastAsia="lv-LV"/>
        </w:rPr>
        <w:t>3</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 xml:space="preserve">4 </w:t>
      </w:r>
      <w:r w:rsidRPr="005737F7">
        <w:rPr>
          <w:rFonts w:ascii="Times New Roman" w:eastAsia="Times New Roman" w:hAnsi="Times New Roman"/>
          <w:sz w:val="24"/>
          <w:lang w:val="lv-LV" w:eastAsia="lv-LV"/>
        </w:rPr>
        <w:t>panta pirmo un otro daļu, 26.</w:t>
      </w:r>
      <w:r w:rsidRPr="005737F7">
        <w:rPr>
          <w:rFonts w:ascii="Times New Roman" w:eastAsia="Times New Roman" w:hAnsi="Times New Roman"/>
          <w:sz w:val="24"/>
          <w:vertAlign w:val="superscript"/>
          <w:lang w:val="lv-LV" w:eastAsia="lv-LV"/>
        </w:rPr>
        <w:t>11</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pirmo daļu, </w:t>
      </w:r>
      <w:r>
        <w:rPr>
          <w:rFonts w:ascii="Times New Roman" w:eastAsia="Times New Roman" w:hAnsi="Times New Roman"/>
          <w:sz w:val="24"/>
          <w:lang w:val="lv-LV" w:eastAsia="lv-LV"/>
        </w:rPr>
        <w:t xml:space="preserve">28. panta </w:t>
      </w:r>
      <w:r w:rsidR="000334AF">
        <w:rPr>
          <w:rFonts w:ascii="Times New Roman" w:eastAsia="Times New Roman" w:hAnsi="Times New Roman"/>
          <w:sz w:val="24"/>
          <w:lang w:val="lv-LV" w:eastAsia="lv-LV"/>
        </w:rPr>
        <w:t xml:space="preserve">otro </w:t>
      </w:r>
      <w:r>
        <w:rPr>
          <w:rFonts w:ascii="Times New Roman" w:eastAsia="Times New Roman" w:hAnsi="Times New Roman"/>
          <w:sz w:val="24"/>
          <w:lang w:val="lv-LV" w:eastAsia="lv-LV"/>
        </w:rPr>
        <w:t>daļu,</w:t>
      </w:r>
    </w:p>
    <w:p w14:paraId="0495BFB3" w14:textId="77777777" w:rsidR="008534B3" w:rsidRPr="008534B3" w:rsidRDefault="008534B3" w:rsidP="008534B3">
      <w:pPr>
        <w:widowControl/>
        <w:tabs>
          <w:tab w:val="left" w:pos="4536"/>
        </w:tabs>
        <w:spacing w:after="0" w:line="240" w:lineRule="auto"/>
        <w:ind w:firstLine="720"/>
        <w:jc w:val="both"/>
        <w:rPr>
          <w:rFonts w:ascii="Times New Roman" w:eastAsia="Times New Roman" w:hAnsi="Times New Roman"/>
          <w:sz w:val="24"/>
          <w:szCs w:val="24"/>
          <w:lang w:val="lv-LV"/>
        </w:rPr>
      </w:pPr>
    </w:p>
    <w:p w14:paraId="0A912831" w14:textId="77777777" w:rsidR="009C2725" w:rsidRDefault="009C2725" w:rsidP="001150AE">
      <w:pPr>
        <w:widowControl/>
        <w:tabs>
          <w:tab w:val="left" w:pos="4536"/>
        </w:tabs>
        <w:spacing w:after="0" w:line="240" w:lineRule="auto"/>
        <w:ind w:firstLine="720"/>
        <w:jc w:val="both"/>
        <w:rPr>
          <w:rFonts w:ascii="Times New Roman" w:eastAsia="Times New Roman" w:hAnsi="Times New Roman"/>
          <w:b/>
          <w:sz w:val="24"/>
          <w:szCs w:val="24"/>
          <w:lang w:val="lv-LV" w:eastAsia="lv-LV"/>
        </w:rPr>
      </w:pPr>
      <w:r w:rsidRPr="001150AE">
        <w:rPr>
          <w:rFonts w:ascii="Times New Roman" w:eastAsia="Times New Roman" w:hAnsi="Times New Roman"/>
          <w:b/>
          <w:sz w:val="24"/>
          <w:szCs w:val="24"/>
          <w:lang w:val="lv-LV" w:eastAsia="lv-LV"/>
        </w:rPr>
        <w:tab/>
        <w:t>nolemj:</w:t>
      </w:r>
    </w:p>
    <w:p w14:paraId="00855990" w14:textId="77777777" w:rsidR="008534B3" w:rsidRPr="001150AE" w:rsidRDefault="008534B3" w:rsidP="001150AE">
      <w:pPr>
        <w:widowControl/>
        <w:tabs>
          <w:tab w:val="left" w:pos="4536"/>
        </w:tabs>
        <w:spacing w:after="0" w:line="240" w:lineRule="auto"/>
        <w:ind w:firstLine="720"/>
        <w:jc w:val="both"/>
        <w:rPr>
          <w:rFonts w:ascii="Times New Roman" w:eastAsia="Times New Roman" w:hAnsi="Times New Roman"/>
          <w:b/>
          <w:sz w:val="24"/>
          <w:szCs w:val="24"/>
          <w:lang w:val="lv-LV" w:eastAsia="lv-LV"/>
        </w:rPr>
      </w:pPr>
    </w:p>
    <w:p w14:paraId="4A51DACF" w14:textId="60F111E1" w:rsidR="001A776D" w:rsidRDefault="001A776D" w:rsidP="001A776D">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apmierināt</w:t>
      </w:r>
      <w:r w:rsidR="00597321">
        <w:rPr>
          <w:rFonts w:ascii="Times New Roman" w:eastAsia="Times New Roman" w:hAnsi="Times New Roman"/>
          <w:sz w:val="24"/>
          <w:lang w:val="lv-LV" w:eastAsia="lv-LV"/>
        </w:rPr>
        <w:t xml:space="preserve"> patērētāja</w:t>
      </w:r>
      <w:r w:rsidRPr="005737F7">
        <w:rPr>
          <w:rFonts w:ascii="Times New Roman" w:eastAsia="Times New Roman" w:hAnsi="Times New Roman"/>
          <w:sz w:val="24"/>
          <w:lang w:val="lv-LV" w:eastAsia="lv-LV"/>
        </w:rPr>
        <w:t xml:space="preserve"> prasību pret </w:t>
      </w:r>
      <w:r>
        <w:rPr>
          <w:rFonts w:ascii="Times New Roman" w:eastAsia="Times New Roman" w:hAnsi="Times New Roman"/>
          <w:sz w:val="24"/>
          <w:lang w:val="lv-LV" w:eastAsia="lv-LV"/>
        </w:rPr>
        <w:t>SIA “C128”</w:t>
      </w:r>
      <w:r w:rsidRPr="005737F7">
        <w:rPr>
          <w:rFonts w:ascii="Times New Roman" w:eastAsia="Times New Roman" w:hAnsi="Times New Roman"/>
          <w:sz w:val="24"/>
          <w:lang w:val="lv-LV" w:eastAsia="lv-LV"/>
        </w:rPr>
        <w:t>.</w:t>
      </w:r>
    </w:p>
    <w:p w14:paraId="0DC5350A" w14:textId="643330FC" w:rsidR="001A776D" w:rsidRDefault="001A776D" w:rsidP="001A776D">
      <w:pPr>
        <w:widowControl/>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U</w:t>
      </w:r>
      <w:r w:rsidRPr="001A776D">
        <w:rPr>
          <w:rFonts w:ascii="Times New Roman" w:eastAsia="Times New Roman" w:hAnsi="Times New Roman"/>
          <w:sz w:val="24"/>
          <w:szCs w:val="24"/>
          <w:lang w:val="lv-LV" w:eastAsia="lv-LV"/>
        </w:rPr>
        <w:t xml:space="preserve">zlikt par pienākumu </w:t>
      </w:r>
      <w:r>
        <w:rPr>
          <w:rFonts w:ascii="Times New Roman" w:eastAsia="Times New Roman" w:hAnsi="Times New Roman"/>
          <w:sz w:val="24"/>
          <w:szCs w:val="24"/>
          <w:lang w:val="lv-LV" w:eastAsia="lv-LV"/>
        </w:rPr>
        <w:t xml:space="preserve">SIA “C128”, reģistrācijas Nr. 40203011507, </w:t>
      </w:r>
      <w:r w:rsidRPr="001A776D">
        <w:rPr>
          <w:rFonts w:ascii="Times New Roman" w:eastAsia="Times New Roman" w:hAnsi="Times New Roman"/>
          <w:sz w:val="24"/>
          <w:szCs w:val="24"/>
          <w:lang w:val="lv-LV" w:eastAsia="lv-LV"/>
        </w:rPr>
        <w:t>nodrošināt patērētājam dīvāna bojātās konstrukcijas daļas (metāla rāmja ar kājām) nomaiņu pret jaunu, līguma noteikumiem atbilstošu preci bez defektiem, par sabiedrības līdzekļiem.</w:t>
      </w:r>
    </w:p>
    <w:p w14:paraId="7D83EAAF" w14:textId="77777777" w:rsidR="001A776D" w:rsidRDefault="001A776D" w:rsidP="001A776D">
      <w:pPr>
        <w:widowControl/>
        <w:spacing w:after="0" w:line="240" w:lineRule="auto"/>
        <w:jc w:val="both"/>
        <w:rPr>
          <w:rFonts w:ascii="Times New Roman" w:eastAsia="Times New Roman" w:hAnsi="Times New Roman"/>
          <w:sz w:val="24"/>
          <w:szCs w:val="24"/>
          <w:lang w:val="lv-LV" w:eastAsia="lv-LV"/>
        </w:rPr>
      </w:pPr>
    </w:p>
    <w:p w14:paraId="79603685" w14:textId="415C5211" w:rsidR="001A776D" w:rsidRPr="005737F7" w:rsidRDefault="001A776D" w:rsidP="001A776D">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lastRenderedPageBreak/>
        <w:t>Saskaņā ar Patērētāju tiesību aizsardzības likuma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piekto daļu Komisijas lēmumam ir ieteikuma raksturs un tas nav apstrīdams vai pārsūdzams.</w:t>
      </w:r>
    </w:p>
    <w:p w14:paraId="7B188DCA" w14:textId="77777777" w:rsidR="001A776D" w:rsidRDefault="001A776D" w:rsidP="001A776D">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Saskaņā ar Patērētāju tiesību aizsardzības likuma 26.</w:t>
      </w:r>
      <w:r w:rsidRPr="005737F7">
        <w:rPr>
          <w:rFonts w:ascii="Times New Roman" w:eastAsia="Times New Roman" w:hAnsi="Times New Roman"/>
          <w:sz w:val="24"/>
          <w:vertAlign w:val="superscript"/>
          <w:lang w:val="lv-LV" w:eastAsia="lv-LV"/>
        </w:rPr>
        <w:t xml:space="preserve">12 </w:t>
      </w:r>
      <w:r w:rsidRPr="005737F7">
        <w:rPr>
          <w:rFonts w:ascii="Times New Roman" w:eastAsia="Times New Roman" w:hAnsi="Times New Roman"/>
          <w:sz w:val="24"/>
          <w:lang w:val="lv-LV" w:eastAsia="lv-LV"/>
        </w:rPr>
        <w:t>panta septīto daļu Komisijas lēmums ir labprātīgi izpildāms 30 dienu laikā no tā spēkā stāšanās datuma.</w:t>
      </w:r>
    </w:p>
    <w:p w14:paraId="533A7BC3" w14:textId="77777777" w:rsidR="001A776D" w:rsidRDefault="001A776D" w:rsidP="001A776D">
      <w:pPr>
        <w:widowControl/>
        <w:spacing w:after="0" w:line="240" w:lineRule="auto"/>
        <w:jc w:val="both"/>
        <w:rPr>
          <w:rFonts w:ascii="Times New Roman" w:eastAsia="Times New Roman" w:hAnsi="Times New Roman"/>
          <w:sz w:val="24"/>
          <w:lang w:val="lv-LV" w:eastAsia="lv-LV"/>
        </w:rPr>
      </w:pPr>
    </w:p>
    <w:p w14:paraId="22806E67" w14:textId="77777777" w:rsidR="009C2725" w:rsidRDefault="009C2725" w:rsidP="001150AE">
      <w:pPr>
        <w:widowControl/>
        <w:spacing w:after="0" w:line="240" w:lineRule="auto"/>
        <w:jc w:val="both"/>
        <w:rPr>
          <w:rFonts w:ascii="Times New Roman" w:eastAsia="Times New Roman" w:hAnsi="Times New Roman"/>
          <w:b/>
          <w:bCs/>
          <w:i/>
          <w:iCs/>
          <w:sz w:val="24"/>
          <w:szCs w:val="24"/>
          <w:lang w:val="lv-LV" w:eastAsia="lv-LV"/>
        </w:rPr>
      </w:pPr>
      <w:r w:rsidRPr="001150AE">
        <w:rPr>
          <w:rFonts w:ascii="Times New Roman" w:eastAsia="Times New Roman" w:hAnsi="Times New Roman"/>
          <w:b/>
          <w:bCs/>
          <w:i/>
          <w:iCs/>
          <w:sz w:val="24"/>
          <w:szCs w:val="24"/>
          <w:lang w:val="lv-LV" w:eastAsia="lv-LV"/>
        </w:rPr>
        <w:t>Šis dokuments ir parakstīts ar drošu elektronisko parakstu un satur laika zīmogu.</w:t>
      </w:r>
    </w:p>
    <w:p w14:paraId="4DD95704" w14:textId="77777777" w:rsidR="008534B3" w:rsidRPr="001150AE" w:rsidRDefault="008534B3" w:rsidP="001150AE">
      <w:pPr>
        <w:widowControl/>
        <w:spacing w:after="0" w:line="240" w:lineRule="auto"/>
        <w:jc w:val="both"/>
        <w:rPr>
          <w:rFonts w:ascii="Times New Roman" w:eastAsia="Times New Roman" w:hAnsi="Times New Roman"/>
          <w:sz w:val="24"/>
          <w:szCs w:val="24"/>
          <w:lang w:val="lv-LV" w:eastAsia="lv-LV"/>
        </w:rPr>
      </w:pPr>
    </w:p>
    <w:p w14:paraId="776F8A89" w14:textId="2284C67B" w:rsidR="004179C6" w:rsidRPr="009C2725" w:rsidRDefault="009C2725" w:rsidP="001150AE">
      <w:pPr>
        <w:widowControl/>
        <w:tabs>
          <w:tab w:val="left" w:pos="6804"/>
        </w:tabs>
        <w:spacing w:after="0" w:line="240" w:lineRule="auto"/>
        <w:jc w:val="both"/>
        <w:rPr>
          <w:lang w:val="lv-LV"/>
        </w:rPr>
      </w:pPr>
      <w:r w:rsidRPr="001150AE">
        <w:rPr>
          <w:rFonts w:ascii="Times New Roman" w:eastAsia="Times New Roman" w:hAnsi="Times New Roman"/>
          <w:sz w:val="24"/>
          <w:szCs w:val="24"/>
          <w:lang w:val="lv-LV" w:eastAsia="lv-LV"/>
        </w:rPr>
        <w:t>Komisijas priekšsēdē</w:t>
      </w:r>
      <w:r w:rsidRPr="005737F7">
        <w:rPr>
          <w:rFonts w:ascii="Times New Roman" w:eastAsia="Times New Roman" w:hAnsi="Times New Roman"/>
          <w:sz w:val="24"/>
          <w:lang w:val="lv-LV" w:eastAsia="lv-LV"/>
        </w:rPr>
        <w:t>tāj</w:t>
      </w:r>
      <w:r>
        <w:rPr>
          <w:rFonts w:ascii="Times New Roman" w:eastAsia="Times New Roman" w:hAnsi="Times New Roman"/>
          <w:sz w:val="24"/>
          <w:lang w:val="lv-LV" w:eastAsia="lv-LV"/>
        </w:rPr>
        <w:t>a</w:t>
      </w:r>
      <w:r>
        <w:rPr>
          <w:rFonts w:ascii="Times New Roman" w:eastAsia="Times New Roman" w:hAnsi="Times New Roman"/>
          <w:sz w:val="24"/>
          <w:lang w:val="lv-LV" w:eastAsia="lv-LV"/>
        </w:rPr>
        <w:tab/>
      </w:r>
      <w:r w:rsidR="001A1B3E">
        <w:rPr>
          <w:rFonts w:ascii="Times New Roman" w:eastAsia="Times New Roman" w:hAnsi="Times New Roman"/>
          <w:sz w:val="24"/>
          <w:lang w:val="lv-LV" w:eastAsia="lv-LV"/>
        </w:rPr>
        <w:t>L</w:t>
      </w:r>
      <w:r w:rsidR="008534B3">
        <w:rPr>
          <w:rFonts w:ascii="Times New Roman" w:eastAsia="Times New Roman" w:hAnsi="Times New Roman"/>
          <w:sz w:val="24"/>
          <w:lang w:val="lv-LV" w:eastAsia="lv-LV"/>
        </w:rPr>
        <w:t>iene</w:t>
      </w:r>
      <w:r w:rsidR="009C0067">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Neimane</w:t>
      </w:r>
    </w:p>
    <w:sectPr w:rsidR="004179C6" w:rsidRPr="009C2725"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EB275" w14:textId="77777777" w:rsidR="007C7E1F" w:rsidRDefault="007C7E1F">
      <w:pPr>
        <w:spacing w:after="0" w:line="240" w:lineRule="auto"/>
      </w:pPr>
      <w:r>
        <w:separator/>
      </w:r>
    </w:p>
  </w:endnote>
  <w:endnote w:type="continuationSeparator" w:id="0">
    <w:p w14:paraId="5F48396E" w14:textId="77777777" w:rsidR="007C7E1F" w:rsidRDefault="007C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FD5F" w14:textId="77777777" w:rsidR="007C7E1F" w:rsidRDefault="007C7E1F">
      <w:pPr>
        <w:spacing w:after="0" w:line="240" w:lineRule="auto"/>
      </w:pPr>
      <w:r>
        <w:separator/>
      </w:r>
    </w:p>
  </w:footnote>
  <w:footnote w:type="continuationSeparator" w:id="0">
    <w:p w14:paraId="1EEC7F56" w14:textId="77777777" w:rsidR="007C7E1F" w:rsidRDefault="007C7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1AD1743D"/>
    <w:multiLevelType w:val="multilevel"/>
    <w:tmpl w:val="4A88A394"/>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71A0D55"/>
    <w:multiLevelType w:val="multilevel"/>
    <w:tmpl w:val="2B581E3C"/>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8" w15:restartNumberingAfterBreak="0">
    <w:nsid w:val="6DC60AC6"/>
    <w:multiLevelType w:val="multilevel"/>
    <w:tmpl w:val="F0603DF6"/>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7"/>
  </w:num>
  <w:num w:numId="14" w16cid:durableId="2125801384">
    <w:abstractNumId w:val="14"/>
  </w:num>
  <w:num w:numId="15" w16cid:durableId="826895981">
    <w:abstractNumId w:val="15"/>
  </w:num>
  <w:num w:numId="16" w16cid:durableId="773284139">
    <w:abstractNumId w:val="13"/>
  </w:num>
  <w:num w:numId="17" w16cid:durableId="740716619">
    <w:abstractNumId w:val="16"/>
  </w:num>
  <w:num w:numId="18" w16cid:durableId="2078547120">
    <w:abstractNumId w:val="12"/>
  </w:num>
  <w:num w:numId="19" w16cid:durableId="9457720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34AF"/>
    <w:rsid w:val="00036F52"/>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0AE"/>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335F"/>
    <w:rsid w:val="0019647C"/>
    <w:rsid w:val="001A1B3E"/>
    <w:rsid w:val="001A776D"/>
    <w:rsid w:val="001B274D"/>
    <w:rsid w:val="001B380A"/>
    <w:rsid w:val="001B63AF"/>
    <w:rsid w:val="001C048F"/>
    <w:rsid w:val="001C372D"/>
    <w:rsid w:val="001C37F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05D"/>
    <w:rsid w:val="00282935"/>
    <w:rsid w:val="002834ED"/>
    <w:rsid w:val="00283C95"/>
    <w:rsid w:val="00293E76"/>
    <w:rsid w:val="002A2378"/>
    <w:rsid w:val="002B167B"/>
    <w:rsid w:val="002B632B"/>
    <w:rsid w:val="002C087E"/>
    <w:rsid w:val="002C3E51"/>
    <w:rsid w:val="002C6975"/>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94C42"/>
    <w:rsid w:val="003A3B6F"/>
    <w:rsid w:val="003A3D43"/>
    <w:rsid w:val="003B0C74"/>
    <w:rsid w:val="003B2670"/>
    <w:rsid w:val="003C1EAB"/>
    <w:rsid w:val="003C2D40"/>
    <w:rsid w:val="003D4737"/>
    <w:rsid w:val="003F302D"/>
    <w:rsid w:val="004047EC"/>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960C1"/>
    <w:rsid w:val="004A1E34"/>
    <w:rsid w:val="004B225A"/>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26CA5"/>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97321"/>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22025"/>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5F8C"/>
    <w:rsid w:val="00737A54"/>
    <w:rsid w:val="0074730C"/>
    <w:rsid w:val="0075427E"/>
    <w:rsid w:val="0076316E"/>
    <w:rsid w:val="00764302"/>
    <w:rsid w:val="00774AA6"/>
    <w:rsid w:val="00775A73"/>
    <w:rsid w:val="00775CB5"/>
    <w:rsid w:val="007765F8"/>
    <w:rsid w:val="00784FC7"/>
    <w:rsid w:val="00787A1E"/>
    <w:rsid w:val="00795467"/>
    <w:rsid w:val="007A14E4"/>
    <w:rsid w:val="007A4722"/>
    <w:rsid w:val="007A6354"/>
    <w:rsid w:val="007A77C5"/>
    <w:rsid w:val="007B3BA5"/>
    <w:rsid w:val="007B4CF7"/>
    <w:rsid w:val="007B7E14"/>
    <w:rsid w:val="007C0298"/>
    <w:rsid w:val="007C7E1F"/>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44AC"/>
    <w:rsid w:val="0084746E"/>
    <w:rsid w:val="008534B3"/>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0D3C"/>
    <w:rsid w:val="00982380"/>
    <w:rsid w:val="009851AB"/>
    <w:rsid w:val="009863D5"/>
    <w:rsid w:val="00990A11"/>
    <w:rsid w:val="009A1ED8"/>
    <w:rsid w:val="009A33AE"/>
    <w:rsid w:val="009B3A35"/>
    <w:rsid w:val="009B4D54"/>
    <w:rsid w:val="009B6639"/>
    <w:rsid w:val="009B7084"/>
    <w:rsid w:val="009C0067"/>
    <w:rsid w:val="009C1A8F"/>
    <w:rsid w:val="009C2725"/>
    <w:rsid w:val="009C4082"/>
    <w:rsid w:val="009C49C4"/>
    <w:rsid w:val="009D0E29"/>
    <w:rsid w:val="009D3FE4"/>
    <w:rsid w:val="009D686D"/>
    <w:rsid w:val="009F6A76"/>
    <w:rsid w:val="00A07955"/>
    <w:rsid w:val="00A12D4B"/>
    <w:rsid w:val="00A21225"/>
    <w:rsid w:val="00A2759B"/>
    <w:rsid w:val="00A34987"/>
    <w:rsid w:val="00A3728F"/>
    <w:rsid w:val="00A37CAD"/>
    <w:rsid w:val="00A460D9"/>
    <w:rsid w:val="00A51F4C"/>
    <w:rsid w:val="00A54D72"/>
    <w:rsid w:val="00A57583"/>
    <w:rsid w:val="00A61FA0"/>
    <w:rsid w:val="00A6559A"/>
    <w:rsid w:val="00A66B08"/>
    <w:rsid w:val="00A71746"/>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3D6"/>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3F8B"/>
    <w:rsid w:val="00BE55B5"/>
    <w:rsid w:val="00BF042C"/>
    <w:rsid w:val="00BF18D1"/>
    <w:rsid w:val="00BF5869"/>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6B6"/>
    <w:rsid w:val="00D21FA6"/>
    <w:rsid w:val="00D25C53"/>
    <w:rsid w:val="00D27900"/>
    <w:rsid w:val="00D42A58"/>
    <w:rsid w:val="00D571EC"/>
    <w:rsid w:val="00D57E8C"/>
    <w:rsid w:val="00D7192C"/>
    <w:rsid w:val="00D7621A"/>
    <w:rsid w:val="00D839B1"/>
    <w:rsid w:val="00DA7F57"/>
    <w:rsid w:val="00DB356D"/>
    <w:rsid w:val="00DC196B"/>
    <w:rsid w:val="00DC3FC8"/>
    <w:rsid w:val="00DC453E"/>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31AB"/>
    <w:rsid w:val="00F50C13"/>
    <w:rsid w:val="00F52303"/>
    <w:rsid w:val="00F61AB1"/>
    <w:rsid w:val="00F621F7"/>
    <w:rsid w:val="00F62F2A"/>
    <w:rsid w:val="00F713DB"/>
    <w:rsid w:val="00F716E5"/>
    <w:rsid w:val="00F7538C"/>
    <w:rsid w:val="00F777D6"/>
    <w:rsid w:val="00F80A51"/>
    <w:rsid w:val="00F80D37"/>
    <w:rsid w:val="00F87BA5"/>
    <w:rsid w:val="00F90962"/>
    <w:rsid w:val="00F9323A"/>
    <w:rsid w:val="00FA165F"/>
    <w:rsid w:val="00FA26DB"/>
    <w:rsid w:val="00FA42BA"/>
    <w:rsid w:val="00FA57EE"/>
    <w:rsid w:val="00FA5D90"/>
    <w:rsid w:val="00FA6F66"/>
    <w:rsid w:val="00FB075C"/>
    <w:rsid w:val="00FB207C"/>
    <w:rsid w:val="00FB47DD"/>
    <w:rsid w:val="00FB5AF5"/>
    <w:rsid w:val="00FB68AC"/>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25A"/>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Spacing">
    <w:name w:val="No Spacing"/>
    <w:uiPriority w:val="1"/>
    <w:qFormat/>
    <w:rsid w:val="001C37FD"/>
    <w:pPr>
      <w:widowControl w:val="0"/>
    </w:pPr>
    <w:rPr>
      <w:sz w:val="22"/>
      <w:szCs w:val="22"/>
      <w:lang w:eastAsia="en-US"/>
    </w:rPr>
  </w:style>
  <w:style w:type="paragraph" w:styleId="NormalWeb">
    <w:name w:val="Normal (Web)"/>
    <w:basedOn w:val="Normal"/>
    <w:uiPriority w:val="99"/>
    <w:semiHidden/>
    <w:unhideWhenUsed/>
    <w:rsid w:val="004B225A"/>
    <w:rPr>
      <w:rFonts w:ascii="Times New Roman" w:hAnsi="Times New Roman"/>
      <w:sz w:val="24"/>
      <w:szCs w:val="24"/>
    </w:rPr>
  </w:style>
  <w:style w:type="character" w:styleId="UnresolvedMention">
    <w:name w:val="Unresolved Mention"/>
    <w:basedOn w:val="DefaultParagraphFont"/>
    <w:uiPriority w:val="99"/>
    <w:semiHidden/>
    <w:unhideWhenUsed/>
    <w:rsid w:val="001A776D"/>
    <w:rPr>
      <w:color w:val="605E5C"/>
      <w:shd w:val="clear" w:color="auto" w:fill="E1DFDD"/>
    </w:rPr>
  </w:style>
  <w:style w:type="paragraph" w:styleId="Revision">
    <w:name w:val="Revision"/>
    <w:hidden/>
    <w:uiPriority w:val="99"/>
    <w:semiHidden/>
    <w:rsid w:val="000334A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5968</Characters>
  <Application>Microsoft Office Word</Application>
  <DocSecurity>0</DocSecurity>
  <Lines>98</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6871</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Neimane | Neimane &amp; Parners</dc:creator>
  <cp:lastModifiedBy>Inta Bērante-Sukaruka</cp:lastModifiedBy>
  <cp:revision>2</cp:revision>
  <cp:lastPrinted>2021-12-06T11:50:00Z</cp:lastPrinted>
  <dcterms:created xsi:type="dcterms:W3CDTF">2026-07-17T10:02:00Z</dcterms:created>
  <dcterms:modified xsi:type="dcterms:W3CDTF">2026-07-17T10:02:00Z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