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20492" w14:textId="7BA2E439" w:rsidR="0097161B" w:rsidRDefault="007B7860">
      <w:pPr>
        <w:spacing w:after="0" w:line="240" w:lineRule="auto"/>
        <w:ind w:firstLine="5103"/>
        <w:rPr>
          <w:rFonts w:ascii="Times New Roman" w:eastAsia="Times New Roman" w:hAnsi="Times New Roman"/>
          <w:b/>
          <w:bCs/>
          <w:sz w:val="24"/>
          <w:szCs w:val="24"/>
          <w:lang w:val="lv-LV"/>
        </w:rPr>
      </w:pPr>
      <w:r>
        <w:rPr>
          <w:rFonts w:ascii="Times New Roman" w:eastAsia="Times New Roman" w:hAnsi="Times New Roman"/>
          <w:b/>
          <w:bCs/>
          <w:sz w:val="24"/>
          <w:szCs w:val="24"/>
          <w:lang w:val="lv-LV"/>
        </w:rPr>
        <w:t>patērētājs</w:t>
      </w:r>
    </w:p>
    <w:p w14:paraId="1F165338" w14:textId="77777777" w:rsidR="0097161B" w:rsidRDefault="00F30C63">
      <w:pPr>
        <w:spacing w:before="120" w:after="0" w:line="240" w:lineRule="auto"/>
        <w:ind w:firstLine="5103"/>
        <w:rPr>
          <w:rFonts w:ascii="Times New Roman" w:eastAsia="Times New Roman" w:hAnsi="Times New Roman"/>
          <w:b/>
          <w:bCs/>
          <w:sz w:val="24"/>
          <w:szCs w:val="24"/>
          <w:lang w:val="lv-LV"/>
        </w:rPr>
      </w:pPr>
      <w:r>
        <w:rPr>
          <w:rFonts w:ascii="Times New Roman" w:eastAsia="Times New Roman" w:hAnsi="Times New Roman"/>
          <w:b/>
          <w:bCs/>
          <w:sz w:val="24"/>
          <w:szCs w:val="24"/>
          <w:lang w:val="lv-LV"/>
        </w:rPr>
        <w:t>SIA “ZEVA AUTO”</w:t>
      </w:r>
      <w:bookmarkStart w:id="0" w:name="_Hlk191237577"/>
      <w:bookmarkEnd w:id="0"/>
    </w:p>
    <w:p w14:paraId="368360B0" w14:textId="77777777" w:rsidR="0097161B" w:rsidRDefault="00F30C63">
      <w:pPr>
        <w:spacing w:after="0" w:line="240" w:lineRule="auto"/>
        <w:ind w:firstLine="5103"/>
        <w:rPr>
          <w:rFonts w:ascii="Times New Roman" w:eastAsia="Times New Roman" w:hAnsi="Times New Roman"/>
          <w:b/>
          <w:bCs/>
          <w:sz w:val="24"/>
          <w:szCs w:val="24"/>
          <w:lang w:val="lv-LV"/>
        </w:rPr>
      </w:pPr>
      <w:proofErr w:type="spellStart"/>
      <w:r>
        <w:rPr>
          <w:rFonts w:ascii="Times New Roman" w:eastAsia="Times New Roman" w:hAnsi="Times New Roman"/>
          <w:b/>
          <w:bCs/>
          <w:sz w:val="24"/>
          <w:szCs w:val="24"/>
          <w:lang w:val="lv-LV"/>
        </w:rPr>
        <w:t>Reģ</w:t>
      </w:r>
      <w:proofErr w:type="spellEnd"/>
      <w:r>
        <w:rPr>
          <w:rFonts w:ascii="Times New Roman" w:eastAsia="Times New Roman" w:hAnsi="Times New Roman"/>
          <w:b/>
          <w:bCs/>
          <w:sz w:val="24"/>
          <w:szCs w:val="24"/>
          <w:lang w:val="lv-LV"/>
        </w:rPr>
        <w:t>. Nr. 40103942814</w:t>
      </w:r>
    </w:p>
    <w:p w14:paraId="69211581" w14:textId="77777777" w:rsidR="0097161B" w:rsidRDefault="00F30C63">
      <w:pPr>
        <w:spacing w:after="0" w:line="240" w:lineRule="auto"/>
        <w:ind w:firstLine="5103"/>
        <w:rPr>
          <w:rFonts w:ascii="Times New Roman" w:hAnsi="Times New Roman"/>
          <w:b/>
          <w:bCs/>
          <w:sz w:val="24"/>
          <w:szCs w:val="24"/>
          <w:lang w:val="lv-LV"/>
        </w:rPr>
      </w:pPr>
      <w:r>
        <w:rPr>
          <w:rFonts w:ascii="Times New Roman" w:hAnsi="Times New Roman"/>
          <w:b/>
          <w:bCs/>
          <w:sz w:val="24"/>
          <w:szCs w:val="24"/>
          <w:lang w:val="lv-LV"/>
        </w:rPr>
        <w:t>Paziņošanai E-adresē</w:t>
      </w:r>
    </w:p>
    <w:p w14:paraId="3542E056" w14:textId="77777777" w:rsidR="0097161B" w:rsidRDefault="0097161B">
      <w:pPr>
        <w:spacing w:after="0" w:line="240" w:lineRule="auto"/>
        <w:rPr>
          <w:rFonts w:ascii="Times New Roman" w:hAnsi="Times New Roman"/>
          <w:b/>
          <w:bCs/>
          <w:sz w:val="24"/>
          <w:szCs w:val="24"/>
          <w:lang w:val="lv-LV"/>
        </w:rPr>
      </w:pPr>
    </w:p>
    <w:p w14:paraId="61A5215A" w14:textId="77777777" w:rsidR="0097161B" w:rsidRDefault="00F30C63">
      <w:pPr>
        <w:widowControl/>
        <w:spacing w:before="360" w:after="0" w:line="240" w:lineRule="auto"/>
        <w:jc w:val="center"/>
        <w:rPr>
          <w:rFonts w:ascii="Times New Roman" w:eastAsia="Times New Roman" w:hAnsi="Times New Roman"/>
          <w:b/>
          <w:sz w:val="24"/>
          <w:szCs w:val="24"/>
          <w:lang w:val="lv-LV" w:eastAsia="lv-LV"/>
        </w:rPr>
      </w:pPr>
      <w:bookmarkStart w:id="1" w:name="_Hlk71527338"/>
      <w:r>
        <w:rPr>
          <w:rFonts w:ascii="Times New Roman" w:eastAsia="Times New Roman" w:hAnsi="Times New Roman"/>
          <w:b/>
          <w:sz w:val="24"/>
          <w:szCs w:val="24"/>
          <w:lang w:val="lv-LV" w:eastAsia="lv-LV"/>
        </w:rPr>
        <w:t>Lēmums</w:t>
      </w:r>
    </w:p>
    <w:p w14:paraId="16FD58EF" w14:textId="77777777" w:rsidR="0097161B" w:rsidRDefault="00F30C63">
      <w:pPr>
        <w:widowControl/>
        <w:spacing w:after="0" w:line="240" w:lineRule="auto"/>
        <w:jc w:val="center"/>
        <w:rPr>
          <w:rFonts w:ascii="Times New Roman" w:eastAsia="Times New Roman" w:hAnsi="Times New Roman"/>
          <w:b/>
          <w:sz w:val="24"/>
          <w:szCs w:val="24"/>
          <w:lang w:val="lv-LV" w:eastAsia="lv-LV"/>
        </w:rPr>
      </w:pPr>
      <w:r>
        <w:rPr>
          <w:rFonts w:ascii="Times New Roman" w:eastAsia="Times New Roman" w:hAnsi="Times New Roman"/>
          <w:b/>
          <w:sz w:val="24"/>
          <w:szCs w:val="24"/>
          <w:lang w:val="lv-LV" w:eastAsia="lv-LV"/>
        </w:rPr>
        <w:t>par strīdu</w:t>
      </w:r>
    </w:p>
    <w:p w14:paraId="10497722" w14:textId="77777777" w:rsidR="0097161B" w:rsidRDefault="00F30C63">
      <w:pPr>
        <w:widowControl/>
        <w:spacing w:after="0" w:line="240" w:lineRule="auto"/>
        <w:jc w:val="center"/>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Rīgā</w:t>
      </w:r>
    </w:p>
    <w:p w14:paraId="6D6C1091" w14:textId="77777777" w:rsidR="0097161B" w:rsidRDefault="00F30C63">
      <w:pPr>
        <w:widowControl/>
        <w:tabs>
          <w:tab w:val="left" w:pos="7230"/>
        </w:tabs>
        <w:spacing w:before="240" w:after="0" w:line="240" w:lineRule="auto"/>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2025.gada 27.augustā</w:t>
      </w:r>
      <w:r>
        <w:rPr>
          <w:rFonts w:ascii="Times New Roman" w:eastAsia="Times New Roman" w:hAnsi="Times New Roman"/>
          <w:sz w:val="24"/>
          <w:szCs w:val="24"/>
          <w:lang w:val="lv-LV" w:eastAsia="lv-LV"/>
        </w:rPr>
        <w:tab/>
        <w:t>Nr. 2025/133-psrk</w:t>
      </w:r>
    </w:p>
    <w:p w14:paraId="65C473E0" w14:textId="77777777" w:rsidR="0097161B" w:rsidRDefault="00F30C63">
      <w:pPr>
        <w:widowControl/>
        <w:spacing w:before="240"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Patērētāju strīdu risināšanas komisija (turpmāk – Komisija) šādā sastāvā:</w:t>
      </w:r>
    </w:p>
    <w:p w14:paraId="3C9E331D" w14:textId="77777777" w:rsidR="0097161B" w:rsidRDefault="00F30C63">
      <w:pPr>
        <w:widowControl/>
        <w:spacing w:after="0" w:line="240" w:lineRule="auto"/>
        <w:ind w:left="720"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Komisijas priekšsēdētāja </w:t>
      </w:r>
      <w:proofErr w:type="spellStart"/>
      <w:r>
        <w:rPr>
          <w:rFonts w:ascii="Times New Roman" w:eastAsia="Times New Roman" w:hAnsi="Times New Roman"/>
          <w:sz w:val="24"/>
          <w:szCs w:val="24"/>
          <w:lang w:val="lv-LV" w:eastAsia="lv-LV"/>
        </w:rPr>
        <w:t>A.Biksiniece</w:t>
      </w:r>
      <w:proofErr w:type="spellEnd"/>
      <w:r>
        <w:rPr>
          <w:rFonts w:ascii="Times New Roman" w:eastAsia="Times New Roman" w:hAnsi="Times New Roman"/>
          <w:sz w:val="24"/>
          <w:szCs w:val="24"/>
          <w:lang w:val="lv-LV" w:eastAsia="lv-LV"/>
        </w:rPr>
        <w:t xml:space="preserve"> </w:t>
      </w:r>
    </w:p>
    <w:p w14:paraId="1C1BB81A" w14:textId="77777777" w:rsidR="0097161B" w:rsidRDefault="00F30C63">
      <w:pPr>
        <w:widowControl/>
        <w:spacing w:after="0" w:line="240" w:lineRule="auto"/>
        <w:ind w:left="144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Komisijas locekļi </w:t>
      </w:r>
      <w:proofErr w:type="spellStart"/>
      <w:r>
        <w:rPr>
          <w:rFonts w:ascii="Times New Roman" w:eastAsia="Times New Roman" w:hAnsi="Times New Roman"/>
          <w:sz w:val="24"/>
          <w:szCs w:val="24"/>
          <w:lang w:val="lv-LV" w:eastAsia="lv-LV"/>
        </w:rPr>
        <w:t>A.Smagars</w:t>
      </w:r>
      <w:proofErr w:type="spellEnd"/>
      <w:r>
        <w:rPr>
          <w:rFonts w:ascii="Times New Roman" w:eastAsia="Times New Roman" w:hAnsi="Times New Roman"/>
          <w:sz w:val="24"/>
          <w:szCs w:val="24"/>
          <w:lang w:val="lv-LV" w:eastAsia="lv-LV"/>
        </w:rPr>
        <w:t xml:space="preserve"> kā patērētāju interešu pārstāvis un </w:t>
      </w:r>
      <w:proofErr w:type="spellStart"/>
      <w:r>
        <w:rPr>
          <w:rFonts w:ascii="Times New Roman" w:hAnsi="Times New Roman"/>
          <w:sz w:val="24"/>
          <w:szCs w:val="24"/>
          <w:lang w:val="lv-LV"/>
        </w:rPr>
        <w:t>I.Rūtiņš</w:t>
      </w:r>
      <w:proofErr w:type="spellEnd"/>
      <w:r>
        <w:rPr>
          <w:rFonts w:ascii="Times New Roman" w:eastAsia="Times New Roman" w:hAnsi="Times New Roman"/>
          <w:sz w:val="24"/>
          <w:szCs w:val="24"/>
          <w:lang w:val="lv-LV" w:eastAsia="lv-LV"/>
        </w:rPr>
        <w:t xml:space="preserve"> kā komersantu interešu pārstāvis</w:t>
      </w:r>
    </w:p>
    <w:p w14:paraId="6E728BBE" w14:textId="213721F6" w:rsidR="0097161B" w:rsidRDefault="00F30C63">
      <w:pPr>
        <w:widowControl/>
        <w:spacing w:after="0" w:line="240" w:lineRule="auto"/>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izskatīja rakstveida procesā strīdu starp </w:t>
      </w:r>
      <w:bookmarkStart w:id="2" w:name="_Hlk152766374"/>
      <w:r>
        <w:rPr>
          <w:rFonts w:ascii="Times New Roman" w:eastAsia="Times New Roman" w:hAnsi="Times New Roman"/>
          <w:sz w:val="24"/>
          <w:szCs w:val="24"/>
          <w:lang w:val="lv-LV" w:eastAsia="lv-LV"/>
        </w:rPr>
        <w:t>patērētāj</w:t>
      </w:r>
      <w:r w:rsidR="007B7860">
        <w:rPr>
          <w:rFonts w:ascii="Times New Roman" w:eastAsia="Times New Roman" w:hAnsi="Times New Roman"/>
          <w:sz w:val="24"/>
          <w:szCs w:val="24"/>
          <w:lang w:val="lv-LV" w:eastAsia="lv-LV"/>
        </w:rPr>
        <w:t>u</w:t>
      </w:r>
      <w:r>
        <w:rPr>
          <w:rFonts w:ascii="Times New Roman" w:eastAsia="Times New Roman" w:hAnsi="Times New Roman"/>
          <w:sz w:val="24"/>
          <w:szCs w:val="24"/>
          <w:lang w:val="lv-LV" w:eastAsia="lv-LV"/>
        </w:rPr>
        <w:t xml:space="preserve"> un </w:t>
      </w:r>
      <w:r>
        <w:rPr>
          <w:rFonts w:ascii="Times New Roman" w:eastAsia="Times New Roman" w:hAnsi="Times New Roman"/>
          <w:sz w:val="24"/>
          <w:szCs w:val="24"/>
          <w:lang w:val="lv-LV" w:eastAsia="lv-LV"/>
        </w:rPr>
        <w:t xml:space="preserve">SIA “ZEVA AUTO” (turpmāk – </w:t>
      </w:r>
      <w:r>
        <w:rPr>
          <w:rFonts w:ascii="Times New Roman" w:eastAsia="Times New Roman" w:hAnsi="Times New Roman"/>
          <w:sz w:val="24"/>
          <w:szCs w:val="24"/>
          <w:lang w:val="lv-LV" w:eastAsia="lv-LV"/>
        </w:rPr>
        <w:t>sabiedrīb</w:t>
      </w:r>
      <w:r>
        <w:rPr>
          <w:rFonts w:ascii="Times New Roman" w:eastAsia="Times New Roman" w:hAnsi="Times New Roman"/>
          <w:sz w:val="24"/>
          <w:szCs w:val="24"/>
          <w:lang w:val="lv-LV" w:eastAsia="lv-LV"/>
        </w:rPr>
        <w:t>a</w:t>
      </w:r>
      <w:r>
        <w:rPr>
          <w:rFonts w:ascii="Times New Roman" w:eastAsia="Times New Roman" w:hAnsi="Times New Roman"/>
          <w:sz w:val="24"/>
          <w:szCs w:val="24"/>
          <w:lang w:val="lv-LV" w:eastAsia="lv-LV"/>
        </w:rPr>
        <w:t>)</w:t>
      </w:r>
      <w:r>
        <w:rPr>
          <w:rFonts w:ascii="Times New Roman" w:eastAsia="Times New Roman" w:hAnsi="Times New Roman"/>
          <w:sz w:val="24"/>
          <w:szCs w:val="24"/>
          <w:lang w:val="lv-LV" w:eastAsia="lv-LV"/>
        </w:rPr>
        <w:t xml:space="preserve"> </w:t>
      </w:r>
      <w:bookmarkEnd w:id="1"/>
      <w:bookmarkEnd w:id="2"/>
      <w:r>
        <w:rPr>
          <w:rFonts w:ascii="Times New Roman" w:eastAsia="Times New Roman" w:hAnsi="Times New Roman"/>
          <w:sz w:val="24"/>
          <w:szCs w:val="24"/>
          <w:lang w:val="lv-LV" w:eastAsia="lv-LV"/>
        </w:rPr>
        <w:t xml:space="preserve">par iegādātu automašīnu, kurai patērētājs ir konstatējis neatbilstību.    </w:t>
      </w:r>
    </w:p>
    <w:p w14:paraId="3B67F11C" w14:textId="232259FC" w:rsidR="0097161B" w:rsidRDefault="00F30C63">
      <w:pPr>
        <w:widowControl/>
        <w:spacing w:after="0" w:line="240" w:lineRule="auto"/>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ab/>
      </w:r>
      <w:r>
        <w:rPr>
          <w:rFonts w:ascii="Times New Roman" w:eastAsia="Times New Roman" w:hAnsi="Times New Roman"/>
          <w:sz w:val="24"/>
          <w:szCs w:val="24"/>
          <w:lang w:val="lv-LV" w:eastAsia="lv-LV"/>
        </w:rPr>
        <w:t xml:space="preserve">No lietas materiāliem izriet, ka 2025.gada 13.janvārī patērētājs no sabiedrības iegādājās lietotu automašīnu Volvo V70 (pirmās reģistrācijas datums 2014.gada 20.septembris) par kopējo summu 6090,00 EUR apmērā. Iegādes brīdī sabiedrība norādīja, ka automašīna ir teicamā tehnikā stāvoklī, tomēr jau uzreiz pēc automašīnas  iegādes, izbraucot no tirdzniecības laukuma, uz paneļa iedegās motora brīdinājuma simbols. Sabiedrības pārdevējs notīrīja kļūdu paziņojumus un apgalvoja, ka automašīnai viss ir kārtībā. Pēc </w:t>
      </w:r>
      <w:r>
        <w:rPr>
          <w:rFonts w:ascii="Times New Roman" w:eastAsia="Times New Roman" w:hAnsi="Times New Roman"/>
          <w:sz w:val="24"/>
          <w:szCs w:val="24"/>
          <w:lang w:val="lv-LV" w:eastAsia="lv-LV"/>
        </w:rPr>
        <w:t xml:space="preserve">sabiedrības ieteikuma patērētājs veica automašīnas tehnisko apkopi, proti, tika veikta eļļas un filtru maiņa, kā arī saskaņā ar sākotnējo kļūdu paziņojumu nomainīta bojātā detaļa - drosele. Paveiktos darbus apliecina </w:t>
      </w:r>
      <w:r>
        <w:rPr>
          <w:rFonts w:ascii="Times New Roman" w:eastAsia="Times New Roman" w:hAnsi="Times New Roman"/>
          <w:sz w:val="24"/>
          <w:szCs w:val="24"/>
          <w:lang w:val="lv-LV" w:eastAsia="lv-LV"/>
        </w:rPr>
        <w:t>servis</w:t>
      </w:r>
      <w:r w:rsidR="007B7860">
        <w:rPr>
          <w:rFonts w:ascii="Times New Roman" w:eastAsia="Times New Roman" w:hAnsi="Times New Roman"/>
          <w:sz w:val="24"/>
          <w:szCs w:val="24"/>
          <w:lang w:val="lv-LV" w:eastAsia="lv-LV"/>
        </w:rPr>
        <w:t>a</w:t>
      </w:r>
      <w:r>
        <w:rPr>
          <w:rFonts w:ascii="Times New Roman" w:eastAsia="Times New Roman" w:hAnsi="Times New Roman"/>
          <w:sz w:val="24"/>
          <w:szCs w:val="24"/>
          <w:lang w:val="lv-LV" w:eastAsia="lv-LV"/>
        </w:rPr>
        <w:t xml:space="preserve"> izsniegtā 2025.gada 21.janvāra pavadzīme un maksājumu čeks par kopējo summu 684,99 EUR. Neskatoties uz minēto, pēc nobrauktiem aptuveni 200 kilometriem, patērētājs konstatēja, ka automašīnas motoram zūd eļļa. Pēc eļļas papildināšanas un nobrauktiem vēl 200 kilometriem, motors joprojām uzrādīja zemu eļļas līmeni un vairākus bojājumus saistībā ar izplūdes traktu, kas liedz automašīnas turpmāku ekspluatāciju. Patērētāja ieskatā automašīna jau tika pārdota ar bojātu motoru. Pirkuma brīdī šos trūkumus nebija ie</w:t>
      </w:r>
      <w:r>
        <w:rPr>
          <w:rFonts w:ascii="Times New Roman" w:eastAsia="Times New Roman" w:hAnsi="Times New Roman"/>
          <w:sz w:val="24"/>
          <w:szCs w:val="24"/>
          <w:lang w:val="lv-LV" w:eastAsia="lv-LV"/>
        </w:rPr>
        <w:t xml:space="preserve">spējams konstatēt, jo pēc kļūdas nodzēšanas paziņojumi parādās tikai pēc apmēram 100 kilometriem un eļļas zušanu var konstatēt tikai pēc 200 kilometriem. Ņemot vērā minēto, 2025.gada 29.janvārī un 31.janvārī patērētājs sabiedrībai iesniedza iesniegumus, kuros lūdza nodrošināt strīda risinājumu (pirkuma maksas atgriešanu, konstatēto defektu novēršanu, vai arī automašīnas nomaiņu), tomēr sabiedrība atbilstošus risinājumus nepiedāvāja. </w:t>
      </w:r>
    </w:p>
    <w:p w14:paraId="1D998708" w14:textId="77777777" w:rsidR="0097161B" w:rsidRDefault="00F30C63">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Iesnieguma izskatīšanas ietvaros sabiedrība PTAC sniedza skaidrojumu, ka automašīnai 2025.gada janvārī (vien dažas dienas pirms pārdošanas) bija izieta tehniskā apskate, kuras vērtējums ir – teicams tehniskais stāvoklis. Papildus patērētājs tika informēts, ka automašīnai ar konkrēto dzinēja apjomu (2.0) jau no ražošanas ir tāda specifika, ka tā patērē ļoti daudz eļļu. Tādējādi eļļa ir regulāri jāpielej. Tāpat tika norādīts, ka ar laiku eļļas patēriņš pieaugs. Sabiedrība paskaidro, ka automašīnas panelī esoš</w:t>
      </w:r>
      <w:r>
        <w:rPr>
          <w:rFonts w:ascii="Times New Roman" w:eastAsia="Times New Roman" w:hAnsi="Times New Roman"/>
          <w:sz w:val="24"/>
          <w:szCs w:val="24"/>
          <w:lang w:val="lv-LV" w:eastAsia="lv-LV"/>
        </w:rPr>
        <w:t xml:space="preserve">ais brīdinājuma simbols ir indikators, kas signalizē par traucējumiem motora darbībā vai pavadošajās sistēmās un var norādīt uz vairākām problēmām, tomēr jebkura no šāda veida problēmām ir saistāma ar automašīnas normālu </w:t>
      </w:r>
      <w:r>
        <w:rPr>
          <w:rFonts w:ascii="Times New Roman" w:eastAsia="Times New Roman" w:hAnsi="Times New Roman"/>
          <w:sz w:val="24"/>
          <w:szCs w:val="24"/>
          <w:lang w:val="lv-LV" w:eastAsia="lv-LV"/>
        </w:rPr>
        <w:lastRenderedPageBreak/>
        <w:t>nolietojumu. Savukārt signāllampiņa panelī ir brīdinājums tam, lai bojājumu novērstu, nomainot detaļu, vai veicot citas nepieciešamās darbības, kas atkarīgas no problēmas cēloņa. Sabiedrība norāda, ka patērētāja pretenzijas ir saistāmas ar automašīnas normālu nolietošanos, līdz ar ko sabied</w:t>
      </w:r>
      <w:r>
        <w:rPr>
          <w:rFonts w:ascii="Times New Roman" w:eastAsia="Times New Roman" w:hAnsi="Times New Roman"/>
          <w:sz w:val="24"/>
          <w:szCs w:val="24"/>
          <w:lang w:val="lv-LV" w:eastAsia="lv-LV"/>
        </w:rPr>
        <w:t xml:space="preserve">rība patērētāja izvirzītās prasības uzskata par nepamatotām. </w:t>
      </w:r>
    </w:p>
    <w:p w14:paraId="25DDF8CD" w14:textId="77777777" w:rsidR="0097161B" w:rsidRDefault="00F30C6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Ņemot vērā, ka PTAC sniegtā palīdzība strīda risināšanā nebija sniegusi rezultātu, patērētājs iesniedza iesniegumu Patērētāju strīdu risināšanas komisijai (turpmāk – Komisija), lūdzot atzīt iegādāto automašīnu par līguma noteikumiem neatbilstošu, uzliekot sabiedrībai pienākumu izpildīt kādu no izvirzītajām prasībām – neatbilstības novēršanu par sabiedrības līdzekļiem, automašīnas nomaiņu pret līdzvērtīgu vai arī pirkuma maksas atgriešanu. Vienlaikus patērētājs norāda, ka, lai pārliecinātos par automašīnas t</w:t>
      </w:r>
      <w:r>
        <w:rPr>
          <w:rFonts w:ascii="Times New Roman" w:hAnsi="Times New Roman"/>
          <w:sz w:val="24"/>
          <w:szCs w:val="24"/>
          <w:lang w:val="lv-LV"/>
        </w:rPr>
        <w:t xml:space="preserve">ehnisko stāvokli, 2025.gada 21.martā patērētājs vērsās oficiālajā Volvo pārstāvja servisā </w:t>
      </w:r>
      <w:bookmarkStart w:id="3" w:name="_Hlk207189930"/>
      <w:r>
        <w:rPr>
          <w:rFonts w:ascii="Times New Roman" w:hAnsi="Times New Roman"/>
          <w:sz w:val="24"/>
          <w:szCs w:val="24"/>
          <w:lang w:val="lv-LV"/>
        </w:rPr>
        <w:t>SIA “Mūsa Motors Rīga”</w:t>
      </w:r>
      <w:bookmarkEnd w:id="3"/>
      <w:r>
        <w:rPr>
          <w:rFonts w:ascii="Times New Roman" w:hAnsi="Times New Roman"/>
          <w:sz w:val="24"/>
          <w:szCs w:val="24"/>
          <w:lang w:val="lv-LV"/>
        </w:rPr>
        <w:t>. Minētais serviss izsniedza automašīnai diagnosticēto kļūdu sarakstu, kā arī remonta piedāvājuma tāmi par sākotnējām izmaksām 16027,95 EUR apmērā.</w:t>
      </w:r>
      <w:r>
        <w:rPr>
          <w:lang w:val="lv-LV"/>
        </w:rPr>
        <w:t xml:space="preserve"> </w:t>
      </w:r>
      <w:r>
        <w:rPr>
          <w:rFonts w:ascii="Times New Roman" w:hAnsi="Times New Roman"/>
          <w:sz w:val="24"/>
          <w:szCs w:val="24"/>
          <w:lang w:val="lv-LV"/>
        </w:rPr>
        <w:t>Iesniegumā Komisijai patērētājs arī norāda uz nepatiesi norādītiem odometra rādījumiem. Proti, pirkuma līgumā odometra rādījums (315150 kilometri) ir norādīts mazāks nekā reālais rādījums pirkuma dienā 2025.gada 13.janvarī, ko apliecina Ceļu satiksmes drošības direkcijas ieraksts tehniskās apskates dienā 2025.gada 8.janvārī  (315852 kilometri).</w:t>
      </w:r>
    </w:p>
    <w:p w14:paraId="4F9EA178" w14:textId="77777777" w:rsidR="0097161B" w:rsidRDefault="00F30C6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Sabiedrība sniedza skaidrojumu Komisijai, ka patērētāja iesniegtajā diagnosticēto kļūdu sarakstā norādītās kļūdas saistāmas ar normālu nolietojumu un nav uzskatāms par slēptu defektu. Attiecībā uz odometra rādījumu, sabiedrība norāda, ka tā ir acīmredzama pārrakstīšanās kļūda, turklāt faktiskais odometra rādījums bija redzams automašīnas panelī pirkuma dienā. Sabiedrība joprojām patērētāja izvirzītās prasības uzskata par nepamatotām. </w:t>
      </w:r>
    </w:p>
    <w:p w14:paraId="13A55FFF" w14:textId="77777777" w:rsidR="0097161B" w:rsidRDefault="00F30C6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Komisija skaidro, ka Patērētāju tiesību aizsardzības likumā (turpmāk – PTAL) ietvertais regulējums par līguma noteikumiem neatbilstošu preci atteicas ne tikai uz jaunām, bet arī lietotām precēm, tādējādi pārdevējs ir atbildīgs par preci, ko tas pārdod, un patērētājs var sagaidīt, ka arī lietota prece pildīs savu pamatfunkciju, ja vien no līguma noteikumiem neizriet pretējais. </w:t>
      </w:r>
    </w:p>
    <w:p w14:paraId="4A608696" w14:textId="77777777" w:rsidR="0097161B" w:rsidRDefault="00F30C6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 xml:space="preserve">Preces atbilstība līguma noteikumiem ir definēta PTAL 14.pantā. Atbilstoši PTAL 14.panta pirmās daļas 1.punktam prece atbilst līguma noteikumiem, ja tā atbilst pārdevēja sniegtajam  preces aprakstam, norādītajam preces veidam, daudzumam un kvalitātei, kā arī funkcionalitātei, saderībai, </w:t>
      </w:r>
      <w:proofErr w:type="spellStart"/>
      <w:r>
        <w:rPr>
          <w:rFonts w:ascii="Times New Roman" w:hAnsi="Times New Roman"/>
          <w:sz w:val="24"/>
          <w:szCs w:val="24"/>
          <w:lang w:val="lv-LV"/>
        </w:rPr>
        <w:t>sadarbspējām</w:t>
      </w:r>
      <w:proofErr w:type="spellEnd"/>
      <w:r>
        <w:rPr>
          <w:rFonts w:ascii="Times New Roman" w:hAnsi="Times New Roman"/>
          <w:sz w:val="24"/>
          <w:szCs w:val="24"/>
          <w:lang w:val="lv-LV"/>
        </w:rPr>
        <w:t xml:space="preserve"> un citām iezīmēm. Līdz ar to jāņem vērā, ka, iegādājoties lietotu preci, nevar gaidīt, ka tai piemitīs tādas pašas īpašības un izpildījums, kāds parasti piemīt un kādu var sagaidīt no jaunas preces. Atbilstība līguma noteikumiem lietotai automašīnai jāvērtē, ņemot vērā īpašības un izpildījumu, kāds parasti piemīt attiecīgā gada, nobraukuma un vizuālā/tehniskā stāvokļa automašīnām. Vienlaikus PTAL 13.panta trešajā daļā ir ietverta likumiska prezumpcija par faktu, ka pārdevēja pārdotā prece jau t</w:t>
      </w:r>
      <w:r>
        <w:rPr>
          <w:rFonts w:ascii="Times New Roman" w:hAnsi="Times New Roman"/>
          <w:sz w:val="24"/>
          <w:szCs w:val="24"/>
          <w:lang w:val="lv-LV"/>
        </w:rPr>
        <w:t xml:space="preserve">ā iegādes dienā neatbilda līguma noteikumiem, ja neatbilstība atklājas gada laikā pēc preces piegādes, izņemot gadījumu, kad šāds pieņēmums ir pretrunā ar preces raksturu vai neatbilstības veidu. Šo prezumpciju pārdevējs var atspēkot, pierādot, ka piegādes brīdī neatbilstība nepastāvēja.  </w:t>
      </w:r>
    </w:p>
    <w:p w14:paraId="7418173C" w14:textId="77777777" w:rsidR="0097161B" w:rsidRDefault="00F30C6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Iepazīstoties ar lietas dokumentiem, Komisija norāda, ka lietā pieejamais SIA “Mūsa Motors Rīga” izsniegtais diagnostikas slēdziens viennozīmīgi pierāda, ka iegādātajai automašīnai ir problēmas ar motoru. Komisijas ieskatā patērētājs ir iesniedzis pietiekamus pierādījumus, no kuriem ir iespējams secināt, ka iegādātajai automašīnai patiešām ir šāds defekts, proti, bojāts motors. Komisija uzsver, ka automašīnas neatbilstība tika konstatēta gada laikā pēc automašīnas piegādes, un Komisijas ieskatā sabiedrība s</w:t>
      </w:r>
      <w:r>
        <w:rPr>
          <w:rFonts w:ascii="Times New Roman" w:hAnsi="Times New Roman"/>
          <w:sz w:val="24"/>
          <w:szCs w:val="24"/>
          <w:lang w:val="lv-LV"/>
        </w:rPr>
        <w:t>askaņā ar PTAL 13.panta trešo daļu nav pierādījusi, ka iegādes brīdī automašīnai nebija problēmas ar motoru. Līdz ar ko tiek pieņemts, ka problēma ar motoru pastāvēja jau automašīnas iegādes brīdī. Komisijas ieskatā šāds defekts ir pietiekami nozīmīgs, lai secinātu, ka iegādātā automašīna ir uzskatāma par līguma noteikumiem neatbilstošu preci. Sabiedrībai būtu jābūt atbildīgai par šādas neatbilstības novēršanu.</w:t>
      </w:r>
    </w:p>
    <w:p w14:paraId="5B404478" w14:textId="77777777" w:rsidR="0097161B" w:rsidRDefault="00F30C63">
      <w:pPr>
        <w:spacing w:after="0" w:line="240" w:lineRule="auto"/>
        <w:ind w:firstLine="720"/>
        <w:jc w:val="both"/>
        <w:rPr>
          <w:rFonts w:ascii="Times New Roman" w:hAnsi="Times New Roman"/>
          <w:sz w:val="24"/>
          <w:szCs w:val="24"/>
          <w:lang w:val="lv-LV"/>
        </w:rPr>
      </w:pPr>
      <w:r>
        <w:rPr>
          <w:rFonts w:ascii="Times New Roman" w:eastAsia="Times New Roman" w:hAnsi="Times New Roman"/>
          <w:sz w:val="24"/>
          <w:szCs w:val="24"/>
          <w:lang w:val="lv-LV" w:eastAsia="lv-LV"/>
        </w:rPr>
        <w:t xml:space="preserve">Ņemot vērā, ka patērētājs ir iegādājies līguma noteikumiem neatbilstošu automašīnu saskaņā ar PTAL 14.pantu, sabiedrības pienākums ir novērst neatbilstību, atbilstoši patērētāja </w:t>
      </w:r>
      <w:r>
        <w:rPr>
          <w:rFonts w:ascii="Times New Roman" w:eastAsia="Times New Roman" w:hAnsi="Times New Roman"/>
          <w:sz w:val="24"/>
          <w:szCs w:val="24"/>
          <w:lang w:val="lv-LV" w:eastAsia="lv-LV"/>
        </w:rPr>
        <w:lastRenderedPageBreak/>
        <w:t xml:space="preserve">izvirzītajai prasībai saskaņā ar PTAL noteikto kārtību. Komisija norāda, ka </w:t>
      </w:r>
      <w:r>
        <w:rPr>
          <w:rFonts w:ascii="Times New Roman" w:hAnsi="Times New Roman"/>
          <w:sz w:val="24"/>
          <w:szCs w:val="24"/>
          <w:lang w:val="lv-LV"/>
        </w:rPr>
        <w:t>PTAL 28.panta otrajā daļā ir noteikts, ka vispirms patērētājs ir tiesīgs izvēlēties, lai pārdevējs bez atlīdzības novērš preces neatbilstību līguma noteikumiem vai bez atlīdzības apmaina preci pret tādu, ar kuru būtu nodrošināta atbilstība līguma noteikumiem, izņemot gadījumu, kad tas nav iespējams vai tas ir nesamērīgi. Savukārt PTAL 28.panta piektā daļa paredz, ka cenas samazinājumu vai līguma atcelšanu un par preci samaksātās naudas atgriešanu patērētājs ir tiesīgs prasīt tikai iestājoties kādam no nosac</w:t>
      </w:r>
      <w:r>
        <w:rPr>
          <w:rFonts w:ascii="Times New Roman" w:hAnsi="Times New Roman"/>
          <w:sz w:val="24"/>
          <w:szCs w:val="24"/>
          <w:lang w:val="lv-LV"/>
        </w:rPr>
        <w:t xml:space="preserve">ījumiem, kuri uzskaitīti PTAL 28.panta piektā daļas apakšpunktos. Piemēram, pārdevējs saprātīgā termiņā nav novērsis preces neatbilstību līguma noteikumiem vai arī, neraugoties uz pārdevēja centieniem, preces neatbilstība joprojām nav novērsta. </w:t>
      </w:r>
    </w:p>
    <w:p w14:paraId="4B8F8A2F" w14:textId="77777777" w:rsidR="0097161B" w:rsidRDefault="00F30C6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Iesniegumā Komisijai patērētājs ir norādījis, ka vēlas, lai sabiedrība izpildītu vienu no prasībām - neatbilstības novēršanu par sabiedrības līdzekļiem, automašīnas nomaiņu pret līdzvērtīgu vai arī pirkuma maksas atgriešanu. Komisijas ieskatā – patērētājs būtu tiesīgs izvirzīts prasību par naudas atgriešanu saskaņā ar PTAL 28.panta piekto daļu. Komisija vērš uzmanību, ka strīds tiek risināts ilgstoši un visu šo laiku patērētāja rīcībā ir automašīna, kura nav izmantojama nolūkam, kādēļ patērētājs to ir iegād</w:t>
      </w:r>
      <w:r>
        <w:rPr>
          <w:rFonts w:ascii="Times New Roman" w:hAnsi="Times New Roman"/>
          <w:sz w:val="24"/>
          <w:szCs w:val="24"/>
          <w:lang w:val="lv-LV"/>
        </w:rPr>
        <w:t>ājies. Tādējādi ir uzskatāms, ka neatbilstība nav novērsta saprātīgā termiņā. Komisija arī norāda, ka tās ieskatā remonta veikšana nav uzskatāma par ekonomiski pamatotu, jo remonta izmaksas var sasniegt vai pat pārsniegt automašīnas vērtību. Tāpat Komisijai nav pārliecības, ka sabiedrība varētu nodrošināt automašīnas nomaiņu pret līguma noteikumiem atbilstošu. Ņemot vērā minēto, patērētājam iegādātā automašīna būtu jānogādā atpakaļ sabiedrībai, un sabiedrībai būtu jāatgriež patērētājam pirkuma maksa 6 090,0</w:t>
      </w:r>
      <w:r>
        <w:rPr>
          <w:rFonts w:ascii="Times New Roman" w:hAnsi="Times New Roman"/>
          <w:sz w:val="24"/>
          <w:szCs w:val="24"/>
          <w:lang w:val="lv-LV"/>
        </w:rPr>
        <w:t xml:space="preserve">0 EUR apmērā. </w:t>
      </w:r>
    </w:p>
    <w:p w14:paraId="5CB4F7B4" w14:textId="77777777" w:rsidR="0097161B" w:rsidRDefault="00F30C63">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Papildus Komisija paskaidro, ka saskaņā ar PTAL 26.</w:t>
      </w:r>
      <w:r>
        <w:rPr>
          <w:rFonts w:ascii="Times New Roman" w:hAnsi="Times New Roman"/>
          <w:sz w:val="24"/>
          <w:szCs w:val="24"/>
          <w:vertAlign w:val="superscript"/>
          <w:lang w:val="lv-LV"/>
        </w:rPr>
        <w:t>3</w:t>
      </w:r>
      <w:r>
        <w:rPr>
          <w:rFonts w:ascii="Times New Roman" w:hAnsi="Times New Roman"/>
          <w:sz w:val="24"/>
          <w:szCs w:val="24"/>
          <w:lang w:val="lv-LV"/>
        </w:rPr>
        <w:t xml:space="preserve"> panta piektās daļas 9.punktu Komisija nerisina strīdus par zaudējumu atlīdzību. Līdz ar ko strīds par izmaksām, kuras patērētājam radās, veicot iegādātās automašīnas remontdarbus par saviem līdzekļiem, turpmāk ir risināms civilprocesuālā kārtībā tiesā.  </w:t>
      </w:r>
    </w:p>
    <w:p w14:paraId="258F8AEF" w14:textId="77777777" w:rsidR="0097161B" w:rsidRDefault="00F30C63">
      <w:pPr>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Ņemot vērā minēto, Komisija, pamatojoties uz Patērētāju tiesību aizsardzības likuma 14.panta pirmās daļas 1.punktu, 26.</w:t>
      </w:r>
      <w:r>
        <w:rPr>
          <w:rFonts w:ascii="Times New Roman" w:eastAsia="Times New Roman" w:hAnsi="Times New Roman"/>
          <w:sz w:val="24"/>
          <w:szCs w:val="24"/>
          <w:vertAlign w:val="superscript"/>
          <w:lang w:val="lv-LV" w:eastAsia="lv-LV"/>
        </w:rPr>
        <w:t>3</w:t>
      </w:r>
      <w:r>
        <w:rPr>
          <w:rFonts w:ascii="Times New Roman" w:eastAsia="Times New Roman" w:hAnsi="Times New Roman"/>
          <w:sz w:val="24"/>
          <w:szCs w:val="24"/>
          <w:lang w:val="lv-LV" w:eastAsia="lv-LV"/>
        </w:rPr>
        <w:t xml:space="preserve"> panta pirmo daļu, 26.</w:t>
      </w:r>
      <w:r>
        <w:rPr>
          <w:rFonts w:ascii="Times New Roman" w:eastAsia="Times New Roman" w:hAnsi="Times New Roman"/>
          <w:sz w:val="24"/>
          <w:szCs w:val="24"/>
          <w:vertAlign w:val="superscript"/>
          <w:lang w:val="lv-LV" w:eastAsia="lv-LV"/>
        </w:rPr>
        <w:t xml:space="preserve">4 </w:t>
      </w:r>
      <w:r>
        <w:rPr>
          <w:rFonts w:ascii="Times New Roman" w:eastAsia="Times New Roman" w:hAnsi="Times New Roman"/>
          <w:sz w:val="24"/>
          <w:szCs w:val="24"/>
          <w:lang w:val="lv-LV" w:eastAsia="lv-LV"/>
        </w:rPr>
        <w:t>panta pirmo un otro daļu, 26.</w:t>
      </w:r>
      <w:r>
        <w:rPr>
          <w:rFonts w:ascii="Times New Roman" w:eastAsia="Times New Roman" w:hAnsi="Times New Roman"/>
          <w:sz w:val="24"/>
          <w:szCs w:val="24"/>
          <w:vertAlign w:val="superscript"/>
          <w:lang w:val="lv-LV" w:eastAsia="lv-LV"/>
        </w:rPr>
        <w:t>11</w:t>
      </w:r>
      <w:r>
        <w:rPr>
          <w:rFonts w:ascii="Times New Roman" w:eastAsia="Times New Roman" w:hAnsi="Times New Roman"/>
          <w:sz w:val="24"/>
          <w:szCs w:val="24"/>
          <w:lang w:val="lv-LV" w:eastAsia="lv-LV"/>
        </w:rPr>
        <w:t xml:space="preserve"> panta pirmo daļu, 26.</w:t>
      </w:r>
      <w:r>
        <w:rPr>
          <w:rFonts w:ascii="Times New Roman" w:eastAsia="Times New Roman" w:hAnsi="Times New Roman"/>
          <w:sz w:val="24"/>
          <w:szCs w:val="24"/>
          <w:vertAlign w:val="superscript"/>
          <w:lang w:val="lv-LV" w:eastAsia="lv-LV"/>
        </w:rPr>
        <w:t>12</w:t>
      </w:r>
      <w:r>
        <w:rPr>
          <w:rFonts w:ascii="Times New Roman" w:eastAsia="Times New Roman" w:hAnsi="Times New Roman"/>
          <w:sz w:val="24"/>
          <w:szCs w:val="24"/>
          <w:lang w:val="lv-LV" w:eastAsia="lv-LV"/>
        </w:rPr>
        <w:t xml:space="preserve"> panta pirmo daļu un 28.panta piekto daļu </w:t>
      </w:r>
    </w:p>
    <w:p w14:paraId="0ED1C4CD" w14:textId="77777777" w:rsidR="0097161B" w:rsidRDefault="0097161B">
      <w:pPr>
        <w:spacing w:after="0" w:line="240" w:lineRule="auto"/>
        <w:contextualSpacing/>
        <w:jc w:val="both"/>
        <w:rPr>
          <w:rFonts w:ascii="Times New Roman" w:hAnsi="Times New Roman"/>
          <w:sz w:val="24"/>
          <w:szCs w:val="24"/>
          <w:lang w:val="lv-LV"/>
        </w:rPr>
      </w:pPr>
    </w:p>
    <w:p w14:paraId="20779503" w14:textId="77777777" w:rsidR="0097161B" w:rsidRDefault="00F30C63">
      <w:pPr>
        <w:widowControl/>
        <w:tabs>
          <w:tab w:val="left" w:pos="4111"/>
        </w:tabs>
        <w:spacing w:after="0" w:line="240" w:lineRule="auto"/>
        <w:jc w:val="both"/>
        <w:rPr>
          <w:rFonts w:ascii="Times New Roman" w:eastAsia="Times New Roman" w:hAnsi="Times New Roman"/>
          <w:b/>
          <w:sz w:val="24"/>
          <w:szCs w:val="24"/>
          <w:lang w:val="lv-LV" w:eastAsia="lv-LV"/>
        </w:rPr>
      </w:pPr>
      <w:r>
        <w:rPr>
          <w:rFonts w:ascii="Times New Roman" w:hAnsi="Times New Roman"/>
          <w:sz w:val="24"/>
          <w:szCs w:val="24"/>
          <w:lang w:val="lv-LV"/>
        </w:rPr>
        <w:tab/>
      </w:r>
      <w:r>
        <w:rPr>
          <w:rFonts w:ascii="Times New Roman" w:eastAsia="Times New Roman" w:hAnsi="Times New Roman"/>
          <w:b/>
          <w:sz w:val="24"/>
          <w:szCs w:val="24"/>
          <w:lang w:val="lv-LV" w:eastAsia="lv-LV"/>
        </w:rPr>
        <w:t>nolemj:</w:t>
      </w:r>
    </w:p>
    <w:p w14:paraId="269C51D5" w14:textId="4B294AAD" w:rsidR="0097161B" w:rsidRDefault="00F30C63">
      <w:pPr>
        <w:widowControl/>
        <w:spacing w:before="240" w:after="0" w:line="240" w:lineRule="auto"/>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apmierināt </w:t>
      </w:r>
      <w:r w:rsidR="007B7860">
        <w:rPr>
          <w:rFonts w:ascii="Times New Roman" w:eastAsia="Times New Roman" w:hAnsi="Times New Roman"/>
          <w:sz w:val="24"/>
          <w:szCs w:val="24"/>
          <w:lang w:val="lv-LV" w:eastAsia="lv-LV"/>
        </w:rPr>
        <w:t>patērētāja</w:t>
      </w:r>
      <w:r>
        <w:rPr>
          <w:rFonts w:ascii="Times New Roman" w:eastAsia="Times New Roman" w:hAnsi="Times New Roman"/>
          <w:sz w:val="24"/>
          <w:szCs w:val="24"/>
          <w:lang w:val="lv-LV" w:eastAsia="lv-LV"/>
        </w:rPr>
        <w:t xml:space="preserve"> prasību. </w:t>
      </w:r>
    </w:p>
    <w:p w14:paraId="55FC25A1" w14:textId="7E1AB9DC" w:rsidR="0097161B" w:rsidRDefault="00F30C63">
      <w:pPr>
        <w:widowControl/>
        <w:spacing w:after="0" w:line="240" w:lineRule="auto"/>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SIA “ZEVA AUTO”</w:t>
      </w:r>
      <w:r>
        <w:rPr>
          <w:rFonts w:ascii="Times New Roman" w:eastAsia="Times New Roman" w:hAnsi="Times New Roman"/>
          <w:sz w:val="24"/>
          <w:szCs w:val="24"/>
          <w:lang w:val="lv-LV" w:eastAsia="lv-LV"/>
        </w:rPr>
        <w:t xml:space="preserve"> atmaksāt </w:t>
      </w:r>
      <w:r w:rsidR="007B7860">
        <w:rPr>
          <w:rFonts w:ascii="Times New Roman" w:eastAsia="Times New Roman" w:hAnsi="Times New Roman"/>
          <w:sz w:val="24"/>
          <w:szCs w:val="24"/>
          <w:lang w:val="lv-LV" w:eastAsia="lv-LV"/>
        </w:rPr>
        <w:t>patērētājam</w:t>
      </w:r>
      <w:r>
        <w:rPr>
          <w:rFonts w:ascii="Times New Roman" w:eastAsia="Times New Roman" w:hAnsi="Times New Roman"/>
          <w:sz w:val="24"/>
          <w:szCs w:val="24"/>
          <w:lang w:val="lv-LV" w:eastAsia="lv-LV"/>
        </w:rPr>
        <w:t xml:space="preserve"> samaksāto naudas summu 6 090,00  EUR apmērā</w:t>
      </w:r>
    </w:p>
    <w:p w14:paraId="453C75BE" w14:textId="77777777" w:rsidR="0097161B" w:rsidRDefault="00F30C63">
      <w:pPr>
        <w:widowControl/>
        <w:spacing w:before="240" w:after="0" w:line="240" w:lineRule="auto"/>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Saskaņā ar PTAL 26.</w:t>
      </w:r>
      <w:r>
        <w:rPr>
          <w:rFonts w:ascii="Times New Roman" w:eastAsia="Times New Roman" w:hAnsi="Times New Roman"/>
          <w:sz w:val="24"/>
          <w:szCs w:val="24"/>
          <w:vertAlign w:val="superscript"/>
          <w:lang w:val="lv-LV" w:eastAsia="lv-LV"/>
        </w:rPr>
        <w:t>12</w:t>
      </w:r>
      <w:r>
        <w:rPr>
          <w:rFonts w:ascii="Times New Roman" w:eastAsia="Times New Roman" w:hAnsi="Times New Roman"/>
          <w:sz w:val="24"/>
          <w:szCs w:val="24"/>
          <w:lang w:val="lv-LV" w:eastAsia="lv-LV"/>
        </w:rPr>
        <w:t xml:space="preserve"> panta piekto daļu Komisijas lēmumam ir ieteikuma raksturs un tas nav apstrīdams vai pārsūdzams. </w:t>
      </w:r>
    </w:p>
    <w:p w14:paraId="3B7DD536" w14:textId="77777777" w:rsidR="0097161B" w:rsidRDefault="00F30C63">
      <w:pPr>
        <w:widowControl/>
        <w:spacing w:after="0" w:line="240" w:lineRule="auto"/>
        <w:jc w:val="both"/>
        <w:rPr>
          <w:rFonts w:ascii="Times New Roman" w:eastAsia="Times New Roman" w:hAnsi="Times New Roman"/>
          <w:sz w:val="24"/>
          <w:szCs w:val="24"/>
          <w:lang w:val="lv-LV"/>
        </w:rPr>
      </w:pPr>
      <w:r>
        <w:rPr>
          <w:rFonts w:ascii="Times New Roman" w:eastAsia="Times New Roman" w:hAnsi="Times New Roman"/>
          <w:sz w:val="24"/>
          <w:szCs w:val="24"/>
          <w:lang w:val="lv-LV" w:eastAsia="lv-LV"/>
        </w:rPr>
        <w:t>Saskaņā ar PTAL 26.</w:t>
      </w:r>
      <w:r>
        <w:rPr>
          <w:rFonts w:ascii="Times New Roman" w:eastAsia="Times New Roman" w:hAnsi="Times New Roman"/>
          <w:sz w:val="24"/>
          <w:szCs w:val="24"/>
          <w:vertAlign w:val="superscript"/>
          <w:lang w:val="lv-LV" w:eastAsia="lv-LV"/>
        </w:rPr>
        <w:t>12</w:t>
      </w:r>
      <w:r>
        <w:rPr>
          <w:rFonts w:ascii="Times New Roman" w:eastAsia="Times New Roman" w:hAnsi="Times New Roman"/>
          <w:sz w:val="24"/>
          <w:szCs w:val="24"/>
          <w:lang w:val="lv-LV" w:eastAsia="lv-LV"/>
        </w:rPr>
        <w:t xml:space="preserve"> panta septīto daļu Komisijas lēmums ir labprātīgi izpildāms 30 dienu laikā no tā spēkā stāšanās dienas.</w:t>
      </w:r>
    </w:p>
    <w:p w14:paraId="656954A1" w14:textId="77777777" w:rsidR="0097161B" w:rsidRDefault="00F30C63">
      <w:pPr>
        <w:widowControl/>
        <w:spacing w:before="240" w:after="240" w:line="240" w:lineRule="auto"/>
        <w:jc w:val="both"/>
        <w:rPr>
          <w:rFonts w:ascii="Times New Roman" w:hAnsi="Times New Roman"/>
          <w:b/>
          <w:i/>
          <w:spacing w:val="-4"/>
          <w:sz w:val="24"/>
          <w:szCs w:val="24"/>
          <w:lang w:val="lv-LV"/>
        </w:rPr>
      </w:pPr>
      <w:r>
        <w:rPr>
          <w:rFonts w:ascii="Times New Roman" w:hAnsi="Times New Roman"/>
          <w:b/>
          <w:i/>
          <w:spacing w:val="-4"/>
          <w:sz w:val="24"/>
          <w:szCs w:val="24"/>
          <w:lang w:val="lv-LV"/>
        </w:rPr>
        <w:t>Šis dokuments ir parakstīts ar drošu elektronisko parakstu un satur laika zīmogu.</w:t>
      </w:r>
    </w:p>
    <w:p w14:paraId="14E0806E" w14:textId="77777777" w:rsidR="0097161B" w:rsidRDefault="00F30C63">
      <w:pPr>
        <w:widowControl/>
        <w:tabs>
          <w:tab w:val="left" w:pos="6804"/>
        </w:tabs>
        <w:spacing w:before="480" w:after="0" w:line="240" w:lineRule="auto"/>
        <w:jc w:val="both"/>
        <w:rPr>
          <w:rFonts w:ascii="Times New Roman" w:eastAsia="Times New Roman" w:hAnsi="Times New Roman"/>
          <w:sz w:val="24"/>
          <w:szCs w:val="24"/>
          <w:lang w:val="lv-LV" w:eastAsia="lv-LV"/>
        </w:rPr>
      </w:pPr>
      <w:bookmarkStart w:id="4" w:name="_Hlk69221613"/>
      <w:r>
        <w:rPr>
          <w:rFonts w:ascii="Times New Roman" w:eastAsia="Times New Roman" w:hAnsi="Times New Roman"/>
          <w:sz w:val="24"/>
          <w:szCs w:val="24"/>
          <w:lang w:val="lv-LV" w:eastAsia="lv-LV"/>
        </w:rPr>
        <w:t>Komisijas priekšsēdētāja</w:t>
      </w:r>
      <w:r>
        <w:rPr>
          <w:rFonts w:ascii="Times New Roman" w:eastAsia="Times New Roman" w:hAnsi="Times New Roman"/>
          <w:sz w:val="24"/>
          <w:szCs w:val="24"/>
          <w:lang w:val="lv-LV" w:eastAsia="lv-LV"/>
        </w:rPr>
        <w:tab/>
      </w:r>
      <w:bookmarkEnd w:id="4"/>
      <w:proofErr w:type="spellStart"/>
      <w:r>
        <w:rPr>
          <w:rFonts w:ascii="Times New Roman" w:eastAsia="Times New Roman" w:hAnsi="Times New Roman"/>
          <w:sz w:val="24"/>
          <w:szCs w:val="24"/>
          <w:lang w:val="lv-LV" w:eastAsia="lv-LV"/>
        </w:rPr>
        <w:t>A.Biksiniece</w:t>
      </w:r>
      <w:proofErr w:type="spellEnd"/>
    </w:p>
    <w:sectPr w:rsidR="0097161B">
      <w:headerReference w:type="default" r:id="rId7"/>
      <w:footerReference w:type="default" r:id="rId8"/>
      <w:headerReference w:type="first" r:id="rId9"/>
      <w:footerReference w:type="first" r:id="rId10"/>
      <w:pgSz w:w="11906" w:h="16838"/>
      <w:pgMar w:top="1134" w:right="1134" w:bottom="1134" w:left="1701" w:header="709" w:footer="709"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DFB0C" w14:textId="77777777" w:rsidR="00F30C63" w:rsidRDefault="00F30C63">
      <w:pPr>
        <w:spacing w:after="0" w:line="240" w:lineRule="auto"/>
      </w:pPr>
      <w:r>
        <w:separator/>
      </w:r>
    </w:p>
  </w:endnote>
  <w:endnote w:type="continuationSeparator" w:id="0">
    <w:p w14:paraId="62B4B500" w14:textId="77777777" w:rsidR="00F30C63" w:rsidRDefault="00F30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327145"/>
      <w:docPartObj>
        <w:docPartGallery w:val="Page Numbers (Bottom of Page)"/>
        <w:docPartUnique/>
      </w:docPartObj>
    </w:sdtPr>
    <w:sdtEndPr/>
    <w:sdtContent>
      <w:p w14:paraId="11FA78CA" w14:textId="77777777" w:rsidR="0097161B" w:rsidRDefault="00F30C63">
        <w:pPr>
          <w:pStyle w:val="Footer"/>
          <w:jc w:val="center"/>
        </w:pPr>
        <w:r>
          <w:fldChar w:fldCharType="begin"/>
        </w:r>
        <w:r>
          <w:instrText>PAGE</w:instrText>
        </w:r>
        <w:r>
          <w:fldChar w:fldCharType="separate"/>
        </w:r>
        <w: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FDCE" w14:textId="77777777" w:rsidR="0097161B" w:rsidRDefault="00971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98421" w14:textId="77777777" w:rsidR="00F30C63" w:rsidRDefault="00F30C63">
      <w:pPr>
        <w:spacing w:after="0" w:line="240" w:lineRule="auto"/>
      </w:pPr>
      <w:r>
        <w:separator/>
      </w:r>
    </w:p>
  </w:footnote>
  <w:footnote w:type="continuationSeparator" w:id="0">
    <w:p w14:paraId="4B40AE3C" w14:textId="77777777" w:rsidR="00F30C63" w:rsidRDefault="00F30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9376" w14:textId="77777777" w:rsidR="0097161B" w:rsidRDefault="00971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8462" w14:textId="77777777" w:rsidR="0097161B" w:rsidRDefault="0097161B">
    <w:pPr>
      <w:pStyle w:val="Header"/>
      <w:jc w:val="both"/>
      <w:rPr>
        <w:rFonts w:ascii="Times New Roman" w:hAnsi="Times New Roman"/>
        <w:sz w:val="24"/>
        <w:szCs w:val="24"/>
      </w:rPr>
    </w:pPr>
  </w:p>
  <w:p w14:paraId="71308BAD" w14:textId="77777777" w:rsidR="0097161B" w:rsidRDefault="0097161B">
    <w:pPr>
      <w:pStyle w:val="Header"/>
      <w:jc w:val="both"/>
      <w:rPr>
        <w:rFonts w:ascii="Times New Roman" w:hAnsi="Times New Roman"/>
        <w:sz w:val="24"/>
        <w:szCs w:val="24"/>
      </w:rPr>
    </w:pPr>
  </w:p>
  <w:p w14:paraId="6E6B5139" w14:textId="77777777" w:rsidR="0097161B" w:rsidRDefault="0097161B">
    <w:pPr>
      <w:pStyle w:val="Header"/>
      <w:jc w:val="both"/>
      <w:rPr>
        <w:rFonts w:ascii="Times New Roman" w:hAnsi="Times New Roman"/>
        <w:sz w:val="24"/>
        <w:szCs w:val="24"/>
      </w:rPr>
    </w:pPr>
  </w:p>
  <w:p w14:paraId="2617EEC5" w14:textId="77777777" w:rsidR="0097161B" w:rsidRDefault="0097161B">
    <w:pPr>
      <w:pStyle w:val="Header"/>
      <w:jc w:val="both"/>
      <w:rPr>
        <w:rFonts w:ascii="Times New Roman" w:hAnsi="Times New Roman"/>
        <w:sz w:val="24"/>
        <w:szCs w:val="24"/>
      </w:rPr>
    </w:pPr>
  </w:p>
  <w:p w14:paraId="7F2FC72A" w14:textId="77777777" w:rsidR="0097161B" w:rsidRDefault="00F30C63">
    <w:pPr>
      <w:tabs>
        <w:tab w:val="center" w:pos="4320"/>
        <w:tab w:val="right" w:pos="8640"/>
      </w:tabs>
      <w:spacing w:after="0" w:line="240" w:lineRule="auto"/>
      <w:jc w:val="center"/>
      <w:rPr>
        <w:rFonts w:ascii="Times New Roman" w:hAnsi="Times New Roman"/>
        <w:sz w:val="32"/>
        <w:szCs w:val="32"/>
      </w:rPr>
    </w:pPr>
    <w:r>
      <w:rPr>
        <w:noProof/>
      </w:rPr>
      <mc:AlternateContent>
        <mc:Choice Requires="wps">
          <w:drawing>
            <wp:anchor distT="0" distB="0" distL="0" distR="0" simplePos="0" relativeHeight="2" behindDoc="1" locked="0" layoutInCell="0" allowOverlap="1" wp14:anchorId="67D304D0" wp14:editId="3561222D">
              <wp:simplePos x="0" y="0"/>
              <wp:positionH relativeFrom="column">
                <wp:posOffset>489585</wp:posOffset>
              </wp:positionH>
              <wp:positionV relativeFrom="paragraph">
                <wp:posOffset>218440</wp:posOffset>
              </wp:positionV>
              <wp:extent cx="5144135" cy="19685"/>
              <wp:effectExtent l="0" t="38100" r="57150" b="76200"/>
              <wp:wrapNone/>
              <wp:docPr id="1" name="Straight Connector 7"/>
              <wp:cNvGraphicFramePr/>
              <a:graphic xmlns:a="http://schemas.openxmlformats.org/drawingml/2006/main">
                <a:graphicData uri="http://schemas.microsoft.com/office/word/2010/wordprocessingShape">
                  <wps:wsp>
                    <wps:cNvCnPr/>
                    <wps:spPr>
                      <a:xfrm flipV="1">
                        <a:off x="0" y="0"/>
                        <a:ext cx="5143680" cy="19080"/>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38.55pt,17.2pt" to="443.5pt,18.65pt" ID="Straight Connector 7" stroked="t" style="position:absolute;flip:y" wp14:anchorId="67D304D0">
              <v:stroke color="black" weight="12600" joinstyle="miter" endcap="flat"/>
              <v:fill o:detectmouseclick="t" on="false"/>
              <v:shadow on="t" obscured="f" color="black"/>
              <w10:wrap type="none"/>
            </v:line>
          </w:pict>
        </mc:Fallback>
      </mc:AlternateContent>
    </w:r>
    <w:r>
      <w:rPr>
        <w:rFonts w:ascii="Times New Roman" w:hAnsi="Times New Roman"/>
        <w:sz w:val="32"/>
        <w:szCs w:val="32"/>
      </w:rPr>
      <w:t>PATĒRĒTĀJU STRĪDU RISINĀŠANAS KOMISIJA</w:t>
    </w:r>
  </w:p>
  <w:p w14:paraId="66F8A106" w14:textId="77777777" w:rsidR="0097161B" w:rsidRDefault="00F30C63">
    <w:pPr>
      <w:spacing w:before="120" w:after="0" w:line="240" w:lineRule="auto"/>
      <w:ind w:left="23"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55,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LV-1010,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xml:space="preserve">. 67388624,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67388634, e-pasts pasts@ptac.gov.lv, www.ptac.gov.lv</w:t>
    </w:r>
  </w:p>
  <w:p w14:paraId="6B464C4D" w14:textId="77777777" w:rsidR="0097161B" w:rsidRDefault="0097161B">
    <w:pPr>
      <w:pStyle w:val="Header"/>
      <w:jc w:val="both"/>
      <w:rPr>
        <w:rFonts w:ascii="Times New Roman" w:hAnsi="Times New Roman"/>
        <w:sz w:val="24"/>
        <w:szCs w:val="24"/>
      </w:rPr>
    </w:pPr>
  </w:p>
  <w:p w14:paraId="02EA201C" w14:textId="77777777" w:rsidR="0097161B" w:rsidRDefault="0097161B">
    <w:pPr>
      <w:pStyle w:val="Header"/>
      <w:jc w:val="both"/>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61B"/>
    <w:rsid w:val="007B7860"/>
    <w:rsid w:val="0097161B"/>
    <w:rsid w:val="00B24D7C"/>
    <w:rsid w:val="00F30C63"/>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697D"/>
  <w15:docId w15:val="{41811E5B-1182-4071-B438-DD0C2263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815277"/>
  </w:style>
  <w:style w:type="character" w:customStyle="1" w:styleId="FooterChar">
    <w:name w:val="Footer Char"/>
    <w:basedOn w:val="DefaultParagraphFont"/>
    <w:link w:val="Footer"/>
    <w:uiPriority w:val="99"/>
    <w:qFormat/>
    <w:rsid w:val="00815277"/>
  </w:style>
  <w:style w:type="character" w:customStyle="1" w:styleId="body1">
    <w:name w:val="body1"/>
    <w:qFormat/>
    <w:rsid w:val="00D21FA6"/>
    <w:rPr>
      <w:rFonts w:ascii="Verdana" w:hAnsi="Verdana"/>
      <w:color w:val="000000"/>
      <w:sz w:val="14"/>
      <w:szCs w:val="14"/>
    </w:rPr>
  </w:style>
  <w:style w:type="character" w:styleId="Hyperlink">
    <w:name w:val="Hyperlink"/>
    <w:uiPriority w:val="99"/>
    <w:unhideWhenUsed/>
    <w:rsid w:val="00D21FA6"/>
    <w:rPr>
      <w:color w:val="0000FF"/>
      <w:u w:val="single"/>
    </w:rPr>
  </w:style>
  <w:style w:type="character" w:customStyle="1" w:styleId="PlainTextChar">
    <w:name w:val="Plain Text Char"/>
    <w:link w:val="PlainText"/>
    <w:uiPriority w:val="99"/>
    <w:semiHidden/>
    <w:qFormat/>
    <w:rsid w:val="00D21FA6"/>
    <w:rPr>
      <w:rFonts w:ascii="Calibri" w:eastAsia="Calibri" w:hAnsi="Calibri" w:cs="Times New Roman"/>
      <w:szCs w:val="21"/>
      <w:lang w:val="lv-LV"/>
    </w:rPr>
  </w:style>
  <w:style w:type="character" w:customStyle="1" w:styleId="BalloonTextChar">
    <w:name w:val="Balloon Text Char"/>
    <w:link w:val="BalloonText"/>
    <w:uiPriority w:val="99"/>
    <w:semiHidden/>
    <w:qFormat/>
    <w:rsid w:val="00030349"/>
    <w:rPr>
      <w:rFonts w:ascii="Tahoma" w:hAnsi="Tahoma" w:cs="Tahoma"/>
      <w:sz w:val="16"/>
      <w:szCs w:val="16"/>
    </w:rPr>
  </w:style>
  <w:style w:type="character" w:styleId="CommentReference">
    <w:name w:val="annotation reference"/>
    <w:basedOn w:val="DefaultParagraphFont"/>
    <w:uiPriority w:val="99"/>
    <w:semiHidden/>
    <w:unhideWhenUsed/>
    <w:qFormat/>
    <w:rsid w:val="00D04CC5"/>
    <w:rPr>
      <w:sz w:val="16"/>
      <w:szCs w:val="16"/>
    </w:rPr>
  </w:style>
  <w:style w:type="character" w:customStyle="1" w:styleId="CommentTextChar">
    <w:name w:val="Comment Text Char"/>
    <w:basedOn w:val="DefaultParagraphFont"/>
    <w:link w:val="CommentText"/>
    <w:uiPriority w:val="99"/>
    <w:qFormat/>
    <w:rsid w:val="00D04CC5"/>
    <w:rPr>
      <w:lang w:val="en-US" w:eastAsia="en-US"/>
    </w:rPr>
  </w:style>
  <w:style w:type="character" w:customStyle="1" w:styleId="CommentSubjectChar">
    <w:name w:val="Comment Subject Char"/>
    <w:basedOn w:val="CommentTextChar"/>
    <w:link w:val="CommentSubject"/>
    <w:uiPriority w:val="99"/>
    <w:semiHidden/>
    <w:qFormat/>
    <w:rsid w:val="00D04CC5"/>
    <w:rPr>
      <w:b/>
      <w:bCs/>
      <w:lang w:val="en-US" w:eastAsia="en-US"/>
    </w:rPr>
  </w:style>
  <w:style w:type="character" w:customStyle="1" w:styleId="multiline">
    <w:name w:val="multiline"/>
    <w:qFormat/>
    <w:rsid w:val="000759CE"/>
  </w:style>
  <w:style w:type="character" w:customStyle="1" w:styleId="UnresolvedMention1">
    <w:name w:val="Unresolved Mention1"/>
    <w:basedOn w:val="DefaultParagraphFont"/>
    <w:uiPriority w:val="99"/>
    <w:semiHidden/>
    <w:unhideWhenUsed/>
    <w:qFormat/>
    <w:rsid w:val="00AF2DD3"/>
    <w:rPr>
      <w:color w:val="605E5C"/>
      <w:shd w:val="clear" w:color="auto" w:fill="E1DFDD"/>
    </w:rPr>
  </w:style>
  <w:style w:type="character" w:customStyle="1" w:styleId="UnresolvedMention2">
    <w:name w:val="Unresolved Mention2"/>
    <w:basedOn w:val="DefaultParagraphFont"/>
    <w:uiPriority w:val="99"/>
    <w:semiHidden/>
    <w:unhideWhenUsed/>
    <w:qFormat/>
    <w:rsid w:val="008265C0"/>
    <w:rPr>
      <w:color w:val="605E5C"/>
      <w:shd w:val="clear" w:color="auto" w:fill="E1DFDD"/>
    </w:rPr>
  </w:style>
  <w:style w:type="character" w:styleId="UnresolvedMention">
    <w:name w:val="Unresolved Mention"/>
    <w:basedOn w:val="DefaultParagraphFont"/>
    <w:uiPriority w:val="99"/>
    <w:semiHidden/>
    <w:unhideWhenUsed/>
    <w:qFormat/>
    <w:rsid w:val="00756294"/>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paragraph" w:styleId="PlainText">
    <w:name w:val="Plain Text"/>
    <w:basedOn w:val="Normal"/>
    <w:link w:val="PlainTextChar"/>
    <w:uiPriority w:val="99"/>
    <w:semiHidden/>
    <w:unhideWhenUsed/>
    <w:qFormat/>
    <w:rsid w:val="00D21FA6"/>
    <w:pPr>
      <w:widowControl/>
      <w:spacing w:after="0" w:line="240" w:lineRule="auto"/>
    </w:pPr>
    <w:rPr>
      <w:szCs w:val="21"/>
      <w:lang w:val="lv-LV"/>
    </w:rPr>
  </w:style>
  <w:style w:type="paragraph" w:styleId="BalloonText">
    <w:name w:val="Balloon Text"/>
    <w:basedOn w:val="Normal"/>
    <w:link w:val="BalloonTextChar"/>
    <w:uiPriority w:val="99"/>
    <w:semiHidden/>
    <w:unhideWhenUsed/>
    <w:qFormat/>
    <w:rsid w:val="00030349"/>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D04CC5"/>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D04CC5"/>
    <w:rPr>
      <w:b/>
      <w:bC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qFormat/>
    <w:rsid w:val="00E63825"/>
    <w:pPr>
      <w:widowControl/>
      <w:spacing w:beforeAutospacing="1" w:afterAutospacing="1" w:line="240" w:lineRule="auto"/>
    </w:pPr>
    <w:rPr>
      <w:rFonts w:ascii="Times New Roman" w:eastAsia="Times New Roman" w:hAnsi="Times New Roman"/>
      <w:sz w:val="24"/>
      <w:szCs w:val="24"/>
      <w:lang w:val="lv-LV" w:eastAsia="lv-LV"/>
    </w:rPr>
  </w:style>
  <w:style w:type="paragraph" w:styleId="Revision">
    <w:name w:val="Revision"/>
    <w:uiPriority w:val="99"/>
    <w:semiHidden/>
    <w:qFormat/>
    <w:rsid w:val="003D5E25"/>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55D6C-A569-4929-A7D8-4D28ED2DE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1332</Words>
  <Characters>9007</Characters>
  <Application>Microsoft Office Word</Application>
  <DocSecurity>0</DocSecurity>
  <Lines>134</Lines>
  <Paragraphs>32</Paragraphs>
  <ScaleCrop>false</ScaleCrop>
  <Company>SPecialiST RePack</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Arnita Lūse-Grīnberga</dc:creator>
  <dc:description/>
  <cp:lastModifiedBy>Inta Bērante-Sukaruka</cp:lastModifiedBy>
  <cp:revision>2</cp:revision>
  <cp:lastPrinted>2020-02-10T07:54:00Z</cp:lastPrinted>
  <dcterms:created xsi:type="dcterms:W3CDTF">2026-09-06T16:38:00Z</dcterms:created>
  <dcterms:modified xsi:type="dcterms:W3CDTF">2026-09-06T16:38:00Z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