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18464" w14:textId="5F1B7BDB" w:rsidR="000344F1" w:rsidRPr="00340684" w:rsidRDefault="00D703A0" w:rsidP="000344F1">
      <w:pPr>
        <w:widowControl/>
        <w:spacing w:after="240" w:line="240" w:lineRule="auto"/>
        <w:ind w:firstLine="5103"/>
        <w:jc w:val="both"/>
        <w:rPr>
          <w:rFonts w:ascii="Times New Roman" w:hAnsi="Times New Roman"/>
          <w:b/>
          <w:bCs/>
          <w:sz w:val="24"/>
          <w:szCs w:val="24"/>
          <w:lang w:val="lv-LV"/>
        </w:rPr>
      </w:pPr>
      <w:r>
        <w:rPr>
          <w:rFonts w:ascii="Times New Roman" w:eastAsia="Times New Roman" w:hAnsi="Times New Roman"/>
          <w:b/>
          <w:noProof/>
          <w:sz w:val="24"/>
          <w:szCs w:val="24"/>
          <w:lang w:val="lv-LV"/>
        </w:rPr>
        <w:t>patērētāja</w:t>
      </w:r>
    </w:p>
    <w:p w14:paraId="4767A675" w14:textId="77777777" w:rsidR="000344F1" w:rsidRPr="000344F1" w:rsidRDefault="000344F1" w:rsidP="000344F1">
      <w:pPr>
        <w:spacing w:after="0"/>
        <w:ind w:left="5103"/>
        <w:rPr>
          <w:rFonts w:ascii="Times New Roman" w:hAnsi="Times New Roman"/>
          <w:b/>
          <w:sz w:val="24"/>
          <w:szCs w:val="24"/>
          <w:lang w:val="lv-LV"/>
        </w:rPr>
      </w:pPr>
      <w:r w:rsidRPr="000344F1">
        <w:rPr>
          <w:rFonts w:ascii="Times New Roman" w:hAnsi="Times New Roman"/>
          <w:b/>
          <w:sz w:val="24"/>
          <w:szCs w:val="24"/>
          <w:lang w:val="lv-LV"/>
        </w:rPr>
        <w:t>Sabiedrība ar ierobežotu atbildību „NAMEJS 1”</w:t>
      </w:r>
    </w:p>
    <w:p w14:paraId="6E699ECF" w14:textId="227B0149" w:rsidR="000344F1" w:rsidRPr="000344F1" w:rsidRDefault="000344F1" w:rsidP="000344F1">
      <w:pPr>
        <w:spacing w:after="0"/>
        <w:ind w:left="5103"/>
        <w:rPr>
          <w:rFonts w:ascii="Times New Roman" w:hAnsi="Times New Roman"/>
          <w:b/>
          <w:sz w:val="24"/>
          <w:szCs w:val="24"/>
          <w:lang w:val="lv-LV"/>
        </w:rPr>
      </w:pPr>
      <w:proofErr w:type="spellStart"/>
      <w:r>
        <w:rPr>
          <w:rFonts w:ascii="Times New Roman" w:hAnsi="Times New Roman"/>
          <w:b/>
          <w:sz w:val="24"/>
          <w:szCs w:val="24"/>
          <w:lang w:val="lv-LV"/>
        </w:rPr>
        <w:t>Reģ</w:t>
      </w:r>
      <w:proofErr w:type="spellEnd"/>
      <w:r>
        <w:rPr>
          <w:rFonts w:ascii="Times New Roman" w:hAnsi="Times New Roman"/>
          <w:b/>
          <w:sz w:val="24"/>
          <w:szCs w:val="24"/>
          <w:lang w:val="lv-LV"/>
        </w:rPr>
        <w:t>.</w:t>
      </w:r>
      <w:r w:rsidRPr="000344F1">
        <w:rPr>
          <w:rFonts w:ascii="Times New Roman" w:hAnsi="Times New Roman"/>
          <w:b/>
          <w:sz w:val="24"/>
          <w:szCs w:val="24"/>
          <w:lang w:val="lv-LV"/>
        </w:rPr>
        <w:t xml:space="preserve"> Nr. 40003495045</w:t>
      </w:r>
    </w:p>
    <w:p w14:paraId="6CE3F41B" w14:textId="77777777" w:rsidR="004168F1" w:rsidRPr="000344F1" w:rsidRDefault="004168F1" w:rsidP="004168F1">
      <w:pPr>
        <w:widowControl/>
        <w:spacing w:after="0" w:line="240" w:lineRule="auto"/>
        <w:ind w:left="5103"/>
        <w:rPr>
          <w:rFonts w:ascii="Times New Roman" w:hAnsi="Times New Roman"/>
          <w:b/>
          <w:bCs/>
          <w:noProof/>
          <w:sz w:val="24"/>
          <w:szCs w:val="24"/>
          <w:lang w:val="lv-LV"/>
        </w:rPr>
      </w:pPr>
      <w:r w:rsidRPr="000344F1">
        <w:rPr>
          <w:rFonts w:ascii="Times New Roman" w:hAnsi="Times New Roman"/>
          <w:b/>
          <w:bCs/>
          <w:noProof/>
          <w:sz w:val="24"/>
          <w:szCs w:val="24"/>
          <w:lang w:val="lv-LV"/>
        </w:rPr>
        <w:t>Paziņošanai E-adresē</w:t>
      </w:r>
    </w:p>
    <w:p w14:paraId="0D3F2618" w14:textId="3E1E4907" w:rsidR="000979D1" w:rsidRDefault="000979D1" w:rsidP="000979D1">
      <w:pPr>
        <w:widowControl/>
        <w:spacing w:after="0" w:line="300" w:lineRule="atLeast"/>
        <w:ind w:left="5103"/>
        <w:rPr>
          <w:rFonts w:ascii="Times New Roman" w:eastAsia="Times New Roman" w:hAnsi="Times New Roman"/>
          <w:sz w:val="24"/>
          <w:szCs w:val="24"/>
          <w:lang w:val="lv-LV" w:eastAsia="lv-LV"/>
        </w:rPr>
      </w:pPr>
    </w:p>
    <w:p w14:paraId="7F018ECB" w14:textId="77777777" w:rsidR="004168F1" w:rsidRPr="000979D1" w:rsidRDefault="004168F1" w:rsidP="000979D1">
      <w:pPr>
        <w:widowControl/>
        <w:spacing w:after="0" w:line="300" w:lineRule="atLeast"/>
        <w:ind w:left="5103"/>
        <w:rPr>
          <w:rFonts w:ascii="Times New Roman" w:eastAsia="Times New Roman" w:hAnsi="Times New Roman"/>
          <w:sz w:val="24"/>
          <w:szCs w:val="24"/>
          <w:lang w:val="lv-LV" w:eastAsia="lv-LV"/>
        </w:rPr>
      </w:pPr>
    </w:p>
    <w:p w14:paraId="4AA526A2" w14:textId="77777777" w:rsidR="000979D1" w:rsidRPr="000979D1" w:rsidRDefault="000979D1" w:rsidP="000979D1">
      <w:pPr>
        <w:widowControl/>
        <w:spacing w:after="0" w:line="300" w:lineRule="atLeast"/>
        <w:jc w:val="center"/>
        <w:rPr>
          <w:rFonts w:ascii="Times New Roman" w:eastAsia="Times New Roman" w:hAnsi="Times New Roman"/>
          <w:b/>
          <w:bCs/>
          <w:sz w:val="24"/>
          <w:szCs w:val="24"/>
          <w:lang w:val="lv-LV" w:eastAsia="lv-LV"/>
        </w:rPr>
      </w:pPr>
      <w:r w:rsidRPr="000979D1">
        <w:rPr>
          <w:rFonts w:ascii="Times New Roman" w:eastAsia="Times New Roman" w:hAnsi="Times New Roman"/>
          <w:b/>
          <w:bCs/>
          <w:sz w:val="24"/>
          <w:szCs w:val="24"/>
          <w:lang w:val="lv-LV" w:eastAsia="lv-LV"/>
        </w:rPr>
        <w:t>Lēmums</w:t>
      </w:r>
      <w:r w:rsidRPr="000979D1">
        <w:rPr>
          <w:rFonts w:ascii="Times New Roman" w:eastAsia="Times New Roman" w:hAnsi="Times New Roman"/>
          <w:b/>
          <w:bCs/>
          <w:sz w:val="24"/>
          <w:szCs w:val="24"/>
          <w:lang w:val="lv-LV" w:eastAsia="lv-LV"/>
        </w:rPr>
        <w:br/>
        <w:t>par strīdu</w:t>
      </w:r>
    </w:p>
    <w:p w14:paraId="56026D51" w14:textId="77777777" w:rsidR="000979D1" w:rsidRDefault="000979D1" w:rsidP="000979D1">
      <w:pPr>
        <w:widowControl/>
        <w:spacing w:after="0" w:line="300" w:lineRule="atLeast"/>
        <w:jc w:val="center"/>
        <w:rPr>
          <w:rFonts w:ascii="Times New Roman" w:eastAsia="Times New Roman" w:hAnsi="Times New Roman"/>
          <w:sz w:val="24"/>
          <w:szCs w:val="24"/>
          <w:lang w:val="lv-LV" w:eastAsia="lv-LV"/>
        </w:rPr>
      </w:pPr>
      <w:r w:rsidRPr="000979D1">
        <w:rPr>
          <w:rFonts w:ascii="Times New Roman" w:eastAsia="Times New Roman" w:hAnsi="Times New Roman"/>
          <w:sz w:val="24"/>
          <w:szCs w:val="24"/>
          <w:lang w:val="lv-LV" w:eastAsia="lv-LV"/>
        </w:rPr>
        <w:t>Rīgā</w:t>
      </w:r>
    </w:p>
    <w:p w14:paraId="0EEC8065" w14:textId="77777777" w:rsidR="000979D1" w:rsidRDefault="000979D1" w:rsidP="000979D1">
      <w:pPr>
        <w:widowControl/>
        <w:spacing w:after="0" w:line="300" w:lineRule="atLeast"/>
        <w:rPr>
          <w:rFonts w:ascii="Times New Roman" w:eastAsia="Times New Roman" w:hAnsi="Times New Roman"/>
          <w:sz w:val="24"/>
          <w:szCs w:val="24"/>
          <w:lang w:val="lv-LV" w:eastAsia="lv-LV"/>
        </w:rPr>
      </w:pPr>
    </w:p>
    <w:p w14:paraId="3CC7EC5E" w14:textId="65D1E69C" w:rsidR="000979D1" w:rsidRPr="000979D1" w:rsidRDefault="000979D1" w:rsidP="000979D1">
      <w:pPr>
        <w:widowControl/>
        <w:spacing w:after="0" w:line="300" w:lineRule="atLeast"/>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2026.</w:t>
      </w:r>
      <w:r w:rsidR="00BC6F7A">
        <w:rPr>
          <w:rFonts w:ascii="Times New Roman" w:eastAsia="Times New Roman" w:hAnsi="Times New Roman"/>
          <w:sz w:val="24"/>
          <w:szCs w:val="24"/>
          <w:lang w:val="lv-LV" w:eastAsia="lv-LV"/>
        </w:rPr>
        <w:t xml:space="preserve"> </w:t>
      </w:r>
      <w:r>
        <w:rPr>
          <w:rFonts w:ascii="Times New Roman" w:eastAsia="Times New Roman" w:hAnsi="Times New Roman"/>
          <w:sz w:val="24"/>
          <w:szCs w:val="24"/>
          <w:lang w:val="lv-LV" w:eastAsia="lv-LV"/>
        </w:rPr>
        <w:t xml:space="preserve">gada </w:t>
      </w:r>
      <w:r w:rsidR="00A94FE0">
        <w:rPr>
          <w:rFonts w:ascii="Times New Roman" w:eastAsia="Times New Roman" w:hAnsi="Times New Roman"/>
          <w:sz w:val="24"/>
          <w:szCs w:val="24"/>
          <w:lang w:val="lv-LV" w:eastAsia="lv-LV"/>
        </w:rPr>
        <w:t>6. augustā</w:t>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sidRPr="000979D1">
        <w:rPr>
          <w:rFonts w:ascii="Times New Roman" w:eastAsia="Times New Roman" w:hAnsi="Times New Roman"/>
          <w:sz w:val="24"/>
          <w:szCs w:val="24"/>
          <w:lang w:val="lv-LV" w:eastAsia="lv-LV"/>
        </w:rPr>
        <w:t>Nr. 2026/</w:t>
      </w:r>
      <w:r w:rsidR="00D942E3">
        <w:rPr>
          <w:rFonts w:ascii="Times New Roman" w:eastAsia="Times New Roman" w:hAnsi="Times New Roman"/>
          <w:sz w:val="24"/>
          <w:szCs w:val="24"/>
          <w:lang w:val="lv-LV" w:eastAsia="lv-LV"/>
        </w:rPr>
        <w:t>266</w:t>
      </w:r>
      <w:r w:rsidRPr="000979D1">
        <w:rPr>
          <w:rFonts w:ascii="Times New Roman" w:eastAsia="Times New Roman" w:hAnsi="Times New Roman"/>
          <w:sz w:val="24"/>
          <w:szCs w:val="24"/>
          <w:lang w:val="lv-LV" w:eastAsia="lv-LV"/>
        </w:rPr>
        <w:noBreakHyphen/>
        <w:t>psrk</w:t>
      </w:r>
    </w:p>
    <w:p w14:paraId="6A91655B" w14:textId="77777777" w:rsidR="000979D1" w:rsidRDefault="000979D1" w:rsidP="000979D1">
      <w:pPr>
        <w:widowControl/>
        <w:spacing w:after="0" w:line="300" w:lineRule="atLeast"/>
        <w:rPr>
          <w:rFonts w:ascii="Times New Roman" w:eastAsia="Times New Roman" w:hAnsi="Times New Roman"/>
          <w:sz w:val="24"/>
          <w:szCs w:val="24"/>
          <w:lang w:val="lv-LV" w:eastAsia="lv-LV"/>
        </w:rPr>
      </w:pPr>
    </w:p>
    <w:p w14:paraId="22170CAB" w14:textId="77777777" w:rsidR="00BC6F7A" w:rsidRPr="00726A68" w:rsidRDefault="00BC6F7A" w:rsidP="00BC6F7A">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Patērētāju strīdu risināšanas komisija (turpmāk – Komisija) šādā sastāvā:</w:t>
      </w:r>
    </w:p>
    <w:p w14:paraId="694DB464" w14:textId="77777777" w:rsidR="00BC6F7A" w:rsidRPr="00726A68" w:rsidRDefault="00BC6F7A" w:rsidP="00BC6F7A">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priekšsēdētāja Liene Neimane,</w:t>
      </w:r>
    </w:p>
    <w:p w14:paraId="650E49FA" w14:textId="77777777" w:rsidR="00BC6F7A" w:rsidRPr="00726A68" w:rsidRDefault="00BC6F7A" w:rsidP="00BC6F7A">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loceklis Andrejs Vanags – patērētāju interešu pārstāvis,</w:t>
      </w:r>
    </w:p>
    <w:p w14:paraId="66E9D2F2" w14:textId="77777777" w:rsidR="004168F1" w:rsidRPr="00726A68" w:rsidRDefault="004168F1" w:rsidP="004168F1">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 xml:space="preserve">Komisijas locekle </w:t>
      </w:r>
      <w:r w:rsidRPr="003357AF">
        <w:rPr>
          <w:rFonts w:ascii="Times New Roman" w:eastAsia="Times New Roman" w:hAnsi="Times New Roman"/>
          <w:sz w:val="24"/>
          <w:szCs w:val="24"/>
          <w:lang w:val="lv-LV" w:eastAsia="lv-LV"/>
        </w:rPr>
        <w:t xml:space="preserve">Anna Saltikova </w:t>
      </w:r>
      <w:r w:rsidRPr="00726A68">
        <w:rPr>
          <w:rFonts w:ascii="Times New Roman" w:eastAsia="Times New Roman" w:hAnsi="Times New Roman"/>
          <w:sz w:val="24"/>
          <w:szCs w:val="24"/>
          <w:lang w:val="lv-LV" w:eastAsia="lv-LV"/>
        </w:rPr>
        <w:t>– komersantu interešu pārstāve,</w:t>
      </w:r>
    </w:p>
    <w:p w14:paraId="68E39062" w14:textId="47FA691F" w:rsidR="00136159" w:rsidRPr="00136159" w:rsidRDefault="00136159" w:rsidP="00136159">
      <w:pPr>
        <w:widowControl/>
        <w:spacing w:after="0" w:line="300" w:lineRule="atLeast"/>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i</w:t>
      </w:r>
      <w:r w:rsidRPr="00136159">
        <w:rPr>
          <w:rFonts w:ascii="Times New Roman" w:eastAsia="Times New Roman" w:hAnsi="Times New Roman"/>
          <w:sz w:val="24"/>
          <w:szCs w:val="24"/>
          <w:lang w:val="lv-LV" w:eastAsia="lv-LV"/>
        </w:rPr>
        <w:t>zskatīja rakstveida procesā strīdu starp patērētāj</w:t>
      </w:r>
      <w:r w:rsidR="00D703A0">
        <w:rPr>
          <w:rFonts w:ascii="Times New Roman" w:eastAsia="Times New Roman" w:hAnsi="Times New Roman"/>
          <w:sz w:val="24"/>
          <w:szCs w:val="24"/>
          <w:lang w:val="lv-LV" w:eastAsia="lv-LV"/>
        </w:rPr>
        <w:t>u</w:t>
      </w:r>
      <w:r w:rsidRPr="00136159">
        <w:rPr>
          <w:rFonts w:ascii="Times New Roman" w:eastAsia="Times New Roman" w:hAnsi="Times New Roman"/>
          <w:sz w:val="24"/>
          <w:szCs w:val="24"/>
          <w:lang w:val="lv-LV" w:eastAsia="lv-LV"/>
        </w:rPr>
        <w:t xml:space="preserve"> un sabiedrību ar ierobežotu atbildību “NAMEJS 1”, reģistrācijas Nr. 40003495045 (turpmāk – sabiedrība), saistībā ar gredzena neatbilstību līguma noteikumiem. </w:t>
      </w:r>
    </w:p>
    <w:p w14:paraId="36EB09CE" w14:textId="77777777" w:rsidR="00136159" w:rsidRPr="00136159" w:rsidRDefault="00136159" w:rsidP="00136159">
      <w:pPr>
        <w:widowControl/>
        <w:spacing w:after="0" w:line="300" w:lineRule="atLeast"/>
        <w:ind w:firstLine="709"/>
        <w:jc w:val="both"/>
        <w:rPr>
          <w:rFonts w:ascii="Times New Roman" w:eastAsia="Times New Roman" w:hAnsi="Times New Roman"/>
          <w:sz w:val="24"/>
          <w:szCs w:val="24"/>
          <w:lang w:val="lv-LV" w:eastAsia="lv-LV"/>
        </w:rPr>
      </w:pPr>
      <w:r w:rsidRPr="00136159">
        <w:rPr>
          <w:rFonts w:ascii="Times New Roman" w:eastAsia="Times New Roman" w:hAnsi="Times New Roman"/>
          <w:sz w:val="24"/>
          <w:szCs w:val="24"/>
          <w:lang w:val="lv-LV" w:eastAsia="lv-LV"/>
        </w:rPr>
        <w:t>No lietas materiāliem izriet, ka patērētājs 2025. gada 14. maijā sabiedrības veikalā iegādājās gredzenu ar safīru un briljantiem par 722,78 EUR. 2025. gada 19. novembrī no gredzena izkrita viens akmentiņš, 2025. gada 20. novembrī gredzens tika nodots sabiedrībai remontam. Pēc remonta gredzens patērētājam tika izsniegts 2025. gada 29. novembrī. Tomēr jau 2025. gada 6. decembrī atkārtoti izkrita vēl viens akmentiņš. 2025. gada 10. decembrī patērētājs vērsās pie sabiedrības ar prasību atmaksāt par preci samaksāto naudu vai apmainīt gredzenu pret citu preci, vienlaikus atsakoties no atkārtota remonta. Sabiedrība prasību neizpildīja. Patērētājs, lai pamatotu savu prasījumu, veica gredzena ekspertīzi Latvijas Proves birojā, par ko samaksāja 34,44 EUR. Komisijai patērētājs lūdz atcelt pirkuma līgumu, atmaksāt par preci samaksāto naudas summu 722,78 EUR un atlīdzināt ekspertīzes izdevumus.</w:t>
      </w:r>
    </w:p>
    <w:p w14:paraId="5B97FA5C" w14:textId="44A747D4" w:rsidR="00136159" w:rsidRPr="00136159" w:rsidRDefault="00136159" w:rsidP="00136159">
      <w:pPr>
        <w:widowControl/>
        <w:spacing w:after="0" w:line="300" w:lineRule="atLeast"/>
        <w:ind w:firstLine="709"/>
        <w:jc w:val="both"/>
        <w:rPr>
          <w:rFonts w:ascii="Times New Roman" w:eastAsia="Times New Roman" w:hAnsi="Times New Roman"/>
          <w:sz w:val="24"/>
          <w:szCs w:val="24"/>
          <w:lang w:val="lv-LV" w:eastAsia="lv-LV"/>
        </w:rPr>
      </w:pPr>
      <w:r w:rsidRPr="00136159">
        <w:rPr>
          <w:rFonts w:ascii="Times New Roman" w:eastAsia="Times New Roman" w:hAnsi="Times New Roman"/>
          <w:sz w:val="24"/>
          <w:szCs w:val="24"/>
          <w:lang w:val="lv-LV" w:eastAsia="lv-LV"/>
        </w:rPr>
        <w:t xml:space="preserve">Sabiedrība lietā ir sniegusi skaidrojumu, ka patērētājam pārdotais gredzens atbilda kvalitātes prasībām un pircējiem tika izsniegti juvelierizstrādājuma lietošanas noteikumi. Sabiedrība norāda, ka pēc pirmā akmentiņa izkrišanas tika konstatēts mehānisks bojājums, jo viens stiprinājums bija norauts, tādēļ, sabiedrības ieskatā, bojājums radies juvelierizstrādājuma lietošanas laikā. Sabiedrība gredzenu salaboja garantijas kārtībā un uzskata, ka precei nav ražošanas defektu. Sabiedrība nepiekrīt patērētāja prasībai atmaksāt naudu, kā arī nepiekrīt Latvijas Proves biroja atzinumiem, uzskatot, ka tie nepierāda ražošanas defekta esamību. </w:t>
      </w:r>
    </w:p>
    <w:p w14:paraId="0FC96FC0" w14:textId="6BD8ABCF" w:rsidR="00136159" w:rsidRPr="00136159" w:rsidRDefault="00136159" w:rsidP="00136159">
      <w:pPr>
        <w:widowControl/>
        <w:spacing w:after="0" w:line="300" w:lineRule="atLeast"/>
        <w:ind w:firstLine="709"/>
        <w:jc w:val="both"/>
        <w:rPr>
          <w:rFonts w:ascii="Times New Roman" w:eastAsia="Times New Roman" w:hAnsi="Times New Roman"/>
          <w:sz w:val="24"/>
          <w:szCs w:val="24"/>
          <w:lang w:val="lv-LV" w:eastAsia="lv-LV"/>
        </w:rPr>
      </w:pPr>
      <w:r w:rsidRPr="00136159">
        <w:rPr>
          <w:rFonts w:ascii="Times New Roman" w:eastAsia="Times New Roman" w:hAnsi="Times New Roman"/>
          <w:sz w:val="24"/>
          <w:szCs w:val="24"/>
          <w:lang w:val="lv-LV" w:eastAsia="lv-LV"/>
        </w:rPr>
        <w:t>Komisija, izvērtējot lietā esošos apstākļus, secina, ka strīds ir par preces kvalitāti.</w:t>
      </w:r>
      <w:r>
        <w:rPr>
          <w:rFonts w:ascii="Times New Roman" w:eastAsia="Times New Roman" w:hAnsi="Times New Roman"/>
          <w:sz w:val="24"/>
          <w:szCs w:val="24"/>
          <w:lang w:val="lv-LV" w:eastAsia="lv-LV"/>
        </w:rPr>
        <w:t xml:space="preserve"> </w:t>
      </w:r>
      <w:r w:rsidRPr="00136159">
        <w:rPr>
          <w:rFonts w:ascii="Times New Roman" w:eastAsia="Times New Roman" w:hAnsi="Times New Roman"/>
          <w:sz w:val="24"/>
          <w:szCs w:val="24"/>
          <w:lang w:val="lv-LV" w:eastAsia="lv-LV"/>
        </w:rPr>
        <w:t xml:space="preserve">Komisija norāda, ka saskaņā ar Patērētāju tiesību aizsardzības likuma (turpmāk – PTAL) </w:t>
      </w:r>
      <w:r w:rsidRPr="00136159">
        <w:rPr>
          <w:rFonts w:ascii="Times New Roman" w:eastAsia="Times New Roman" w:hAnsi="Times New Roman"/>
          <w:sz w:val="24"/>
          <w:szCs w:val="24"/>
          <w:lang w:val="lv-LV" w:eastAsia="lv-LV"/>
        </w:rPr>
        <w:lastRenderedPageBreak/>
        <w:t>13.</w:t>
      </w:r>
      <w:r>
        <w:rPr>
          <w:rFonts w:ascii="Times New Roman" w:eastAsia="Times New Roman" w:hAnsi="Times New Roman"/>
          <w:sz w:val="24"/>
          <w:szCs w:val="24"/>
          <w:lang w:val="lv-LV" w:eastAsia="lv-LV"/>
        </w:rPr>
        <w:t> </w:t>
      </w:r>
      <w:r w:rsidRPr="00136159">
        <w:rPr>
          <w:rFonts w:ascii="Times New Roman" w:eastAsia="Times New Roman" w:hAnsi="Times New Roman"/>
          <w:sz w:val="24"/>
          <w:szCs w:val="24"/>
          <w:lang w:val="lv-LV" w:eastAsia="lv-LV"/>
        </w:rPr>
        <w:t>panta pirmo un otro daļu pārdevējam ir pienākums nodrošināt preces atbilstību līguma noteikumiem, kā arī pārdevējs ir atbildīgs par jebkuru neatbilstību, kas pastāvējusi preces piegādes brīdī un atklājas divu gadu laikā no piegādes dienas.</w:t>
      </w:r>
    </w:p>
    <w:p w14:paraId="3DD0DB36" w14:textId="7244041B" w:rsidR="00136159" w:rsidRPr="00136159" w:rsidRDefault="00136159" w:rsidP="00136159">
      <w:pPr>
        <w:widowControl/>
        <w:spacing w:after="0" w:line="300" w:lineRule="atLeast"/>
        <w:ind w:firstLine="709"/>
        <w:jc w:val="both"/>
        <w:rPr>
          <w:rFonts w:ascii="Times New Roman" w:eastAsia="Times New Roman" w:hAnsi="Times New Roman"/>
          <w:sz w:val="24"/>
          <w:szCs w:val="24"/>
          <w:lang w:val="lv-LV" w:eastAsia="lv-LV"/>
        </w:rPr>
      </w:pPr>
      <w:r w:rsidRPr="00136159">
        <w:rPr>
          <w:rFonts w:ascii="Times New Roman" w:eastAsia="Times New Roman" w:hAnsi="Times New Roman"/>
          <w:sz w:val="24"/>
          <w:szCs w:val="24"/>
          <w:lang w:val="lv-LV" w:eastAsia="lv-LV"/>
        </w:rPr>
        <w:t xml:space="preserve">Komisija norāda, ka saskaņā ar PTAL 13. panta trešo daļu, ja preces neatbilstība līguma noteikumiem atklājas gada laikā no preces piegādes dienas, uzskatāms, ka neatbilstība pastāvējusi preces piegādes brīdī, ja vien pārdevējs nepierāda pretējo. Līdz ar to šajā lietā tieši sabiedrībai bija pienākums pierādīt, ka gredzens iegādes brīdī atbilda līguma noteikumiem un ka konstatētā neatbilstība nav saistīta ar preces kvalitāti. </w:t>
      </w:r>
    </w:p>
    <w:p w14:paraId="107684E1" w14:textId="365E6CD5" w:rsidR="00136159" w:rsidRPr="00136159" w:rsidRDefault="00136159" w:rsidP="00136159">
      <w:pPr>
        <w:widowControl/>
        <w:spacing w:after="0" w:line="300" w:lineRule="atLeast"/>
        <w:ind w:firstLine="709"/>
        <w:jc w:val="both"/>
        <w:rPr>
          <w:rFonts w:ascii="Times New Roman" w:eastAsia="Times New Roman" w:hAnsi="Times New Roman"/>
          <w:sz w:val="24"/>
          <w:szCs w:val="24"/>
          <w:lang w:val="lv-LV" w:eastAsia="lv-LV"/>
        </w:rPr>
      </w:pPr>
      <w:r w:rsidRPr="00136159">
        <w:rPr>
          <w:rFonts w:ascii="Times New Roman" w:eastAsia="Times New Roman" w:hAnsi="Times New Roman"/>
          <w:sz w:val="24"/>
          <w:szCs w:val="24"/>
          <w:lang w:val="lv-LV" w:eastAsia="lv-LV"/>
        </w:rPr>
        <w:t xml:space="preserve">Komisija konstatē, ka pirmā neatbilstība tika konstatēta aptuveni sešus mēnešus pēc gredzena iegādes, tātad PTAL 13. panta trešajā daļā noteiktajā termiņā. Sabiedrība ir sniegusi paskaidrojumus par iespējamu mehānisku bojājumu, taču nav iesniegusi pietiekamus pierādījumus, kas atspēkotu likumā noteikto prezumpciju par neatbilstības pastāvēšanu preces piegādes brīdī. </w:t>
      </w:r>
    </w:p>
    <w:p w14:paraId="2DD4728C" w14:textId="5F81E5F1" w:rsidR="00136159" w:rsidRPr="00136159" w:rsidRDefault="00136159" w:rsidP="00136159">
      <w:pPr>
        <w:widowControl/>
        <w:spacing w:after="0" w:line="300" w:lineRule="atLeast"/>
        <w:ind w:firstLine="709"/>
        <w:jc w:val="both"/>
        <w:rPr>
          <w:rFonts w:ascii="Times New Roman" w:eastAsia="Times New Roman" w:hAnsi="Times New Roman"/>
          <w:sz w:val="24"/>
          <w:szCs w:val="24"/>
          <w:lang w:val="lv-LV" w:eastAsia="lv-LV"/>
        </w:rPr>
      </w:pPr>
      <w:r w:rsidRPr="00136159">
        <w:rPr>
          <w:rFonts w:ascii="Times New Roman" w:eastAsia="Times New Roman" w:hAnsi="Times New Roman"/>
          <w:sz w:val="24"/>
          <w:szCs w:val="24"/>
          <w:lang w:val="lv-LV" w:eastAsia="lv-LV"/>
        </w:rPr>
        <w:t xml:space="preserve">Savukārt patērētājs, lai gan tam nebija pienākuma gada laikā pēc preces iegādes pierādīt neatbilstības cēloni, ir iesniedzis ekspertīzes atzinumu. No lietas materiāliem izriet, ka pēc atkārtotas ekspertīzes tika secināts, ka mehāniski bojājumi nav konstatēti, bet gredzena neatbilstība saistīta ar </w:t>
      </w:r>
      <w:proofErr w:type="spellStart"/>
      <w:r w:rsidRPr="00136159">
        <w:rPr>
          <w:rFonts w:ascii="Times New Roman" w:eastAsia="Times New Roman" w:hAnsi="Times New Roman"/>
          <w:sz w:val="24"/>
          <w:szCs w:val="24"/>
          <w:lang w:val="lv-LV" w:eastAsia="lv-LV"/>
        </w:rPr>
        <w:t>krapīšu</w:t>
      </w:r>
      <w:proofErr w:type="spellEnd"/>
      <w:r w:rsidRPr="00136159">
        <w:rPr>
          <w:rFonts w:ascii="Times New Roman" w:eastAsia="Times New Roman" w:hAnsi="Times New Roman"/>
          <w:sz w:val="24"/>
          <w:szCs w:val="24"/>
          <w:lang w:val="lv-LV" w:eastAsia="lv-LV"/>
        </w:rPr>
        <w:t xml:space="preserve"> nepilnīgu formu, kas nenodrošina to funkciju, un bojājuma cēlonis ir saistāms ar ražotāja atbildību. </w:t>
      </w:r>
    </w:p>
    <w:p w14:paraId="4A3B3149" w14:textId="77777777" w:rsidR="00136159" w:rsidRPr="00136159" w:rsidRDefault="00136159" w:rsidP="00136159">
      <w:pPr>
        <w:widowControl/>
        <w:spacing w:after="0" w:line="300" w:lineRule="atLeast"/>
        <w:ind w:firstLine="709"/>
        <w:jc w:val="both"/>
        <w:rPr>
          <w:rFonts w:ascii="Times New Roman" w:eastAsia="Times New Roman" w:hAnsi="Times New Roman"/>
          <w:sz w:val="24"/>
          <w:szCs w:val="24"/>
          <w:lang w:val="lv-LV" w:eastAsia="lv-LV"/>
        </w:rPr>
      </w:pPr>
      <w:r w:rsidRPr="00136159">
        <w:rPr>
          <w:rFonts w:ascii="Times New Roman" w:eastAsia="Times New Roman" w:hAnsi="Times New Roman"/>
          <w:sz w:val="24"/>
          <w:szCs w:val="24"/>
          <w:lang w:val="lv-LV" w:eastAsia="lv-LV"/>
        </w:rPr>
        <w:t>Savukārt, atbilstoši PTAL 28. panta piektajai daļai, patērētājam ir tiesības pieprasīt, lai pārdevējs samērīgi samazina preces cenu vai atceļ līgumu un atmaksā par preci samaksāto naudas summu, ja pārdevējs saprātīgā termiņā nav novērsis preces neatbilstību līguma noteikumiem vai nav apmainījis preci pret līguma noteikumiem atbilstošu preci.</w:t>
      </w:r>
    </w:p>
    <w:p w14:paraId="5BDEA1D9" w14:textId="77777777" w:rsidR="00136159" w:rsidRPr="00136159" w:rsidRDefault="00136159" w:rsidP="00136159">
      <w:pPr>
        <w:widowControl/>
        <w:spacing w:after="0" w:line="300" w:lineRule="atLeast"/>
        <w:ind w:firstLine="709"/>
        <w:jc w:val="both"/>
        <w:rPr>
          <w:rFonts w:ascii="Times New Roman" w:eastAsia="Times New Roman" w:hAnsi="Times New Roman"/>
          <w:sz w:val="24"/>
          <w:szCs w:val="24"/>
          <w:lang w:val="lv-LV" w:eastAsia="lv-LV"/>
        </w:rPr>
      </w:pPr>
      <w:r w:rsidRPr="00136159">
        <w:rPr>
          <w:rFonts w:ascii="Times New Roman" w:eastAsia="Times New Roman" w:hAnsi="Times New Roman"/>
          <w:sz w:val="24"/>
          <w:szCs w:val="24"/>
          <w:lang w:val="lv-LV" w:eastAsia="lv-LV"/>
        </w:rPr>
        <w:t>Komisija secina, ka, neskatoties uz sabiedrības veikto remontu, pēc neilga laika neatbilstība radās atkārtoti. Tādējādi preces atbilstība līguma noteikumiem netika nodrošināta, un patērētājam ir tiesības prasīt pirkuma līguma atcelšanu un samaksātās naudas atmaksu.</w:t>
      </w:r>
    </w:p>
    <w:p w14:paraId="5B6B5431" w14:textId="77777777" w:rsidR="00136159" w:rsidRPr="00136159" w:rsidRDefault="00136159" w:rsidP="00136159">
      <w:pPr>
        <w:widowControl/>
        <w:spacing w:after="0" w:line="300" w:lineRule="atLeast"/>
        <w:ind w:firstLine="709"/>
        <w:jc w:val="both"/>
        <w:rPr>
          <w:rFonts w:ascii="Times New Roman" w:eastAsia="Times New Roman" w:hAnsi="Times New Roman"/>
          <w:sz w:val="24"/>
          <w:szCs w:val="24"/>
          <w:lang w:val="lv-LV" w:eastAsia="lv-LV"/>
        </w:rPr>
      </w:pPr>
      <w:r w:rsidRPr="00136159">
        <w:rPr>
          <w:rFonts w:ascii="Times New Roman" w:eastAsia="Times New Roman" w:hAnsi="Times New Roman"/>
          <w:sz w:val="24"/>
          <w:szCs w:val="24"/>
          <w:lang w:val="lv-LV" w:eastAsia="lv-LV"/>
        </w:rPr>
        <w:t>Tā kā ekspertīze tika veikta strīda risināšanai un tās rezultāti ir nozīmīgi strīda izskatīšanā, Komisija atzīst, ka patērētājam radušies ekspertīzes izdevumi 34,44 EUR apmērā ir atlīdzināmi.</w:t>
      </w:r>
    </w:p>
    <w:p w14:paraId="757477B0" w14:textId="77777777" w:rsidR="003925DE" w:rsidRPr="00025BAD" w:rsidRDefault="003925DE" w:rsidP="003925DE">
      <w:pPr>
        <w:widowControl/>
        <w:spacing w:after="0" w:line="300" w:lineRule="atLeast"/>
        <w:ind w:firstLine="709"/>
        <w:jc w:val="both"/>
        <w:rPr>
          <w:rFonts w:ascii="Times New Roman" w:eastAsia="Times New Roman" w:hAnsi="Times New Roman"/>
          <w:sz w:val="24"/>
          <w:szCs w:val="24"/>
          <w:lang w:val="lv-LV" w:eastAsia="lv-LV"/>
        </w:rPr>
      </w:pPr>
    </w:p>
    <w:p w14:paraId="56CA2438" w14:textId="61517CAD" w:rsidR="00D035A6" w:rsidRDefault="00D035A6" w:rsidP="00D035A6">
      <w:pPr>
        <w:spacing w:after="0" w:line="240" w:lineRule="auto"/>
        <w:ind w:firstLine="709"/>
        <w:jc w:val="both"/>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Pamatojoties uz Patērētāju tiesību aizsardzības likuma 26.</w:t>
      </w:r>
      <w:r w:rsidRPr="00726A68">
        <w:rPr>
          <w:rFonts w:ascii="Times New Roman" w:eastAsia="Times New Roman" w:hAnsi="Times New Roman"/>
          <w:sz w:val="24"/>
          <w:szCs w:val="24"/>
          <w:vertAlign w:val="superscript"/>
          <w:lang w:val="lv-LV" w:eastAsia="lv-LV"/>
        </w:rPr>
        <w:t>3</w:t>
      </w:r>
      <w:r w:rsidRPr="00726A68">
        <w:rPr>
          <w:rFonts w:ascii="Times New Roman" w:eastAsia="Times New Roman" w:hAnsi="Times New Roman"/>
          <w:sz w:val="24"/>
          <w:szCs w:val="24"/>
          <w:lang w:val="lv-LV" w:eastAsia="lv-LV"/>
        </w:rPr>
        <w:t xml:space="preserve"> panta pirmo daļu, 26.</w:t>
      </w:r>
      <w:r w:rsidRPr="00726A68">
        <w:rPr>
          <w:rFonts w:ascii="Times New Roman" w:eastAsia="Times New Roman" w:hAnsi="Times New Roman"/>
          <w:sz w:val="24"/>
          <w:szCs w:val="24"/>
          <w:vertAlign w:val="superscript"/>
          <w:lang w:val="lv-LV" w:eastAsia="lv-LV"/>
        </w:rPr>
        <w:t>4</w:t>
      </w:r>
      <w:r w:rsidRPr="00726A68">
        <w:rPr>
          <w:rFonts w:ascii="Times New Roman" w:eastAsia="Times New Roman" w:hAnsi="Times New Roman"/>
          <w:sz w:val="24"/>
          <w:szCs w:val="24"/>
          <w:lang w:val="lv-LV" w:eastAsia="lv-LV"/>
        </w:rPr>
        <w:t xml:space="preserve"> panta pirmo un otro daļu, 26.</w:t>
      </w:r>
      <w:r w:rsidRPr="00726A68">
        <w:rPr>
          <w:rFonts w:ascii="Times New Roman" w:eastAsia="Times New Roman" w:hAnsi="Times New Roman"/>
          <w:sz w:val="24"/>
          <w:szCs w:val="24"/>
          <w:vertAlign w:val="superscript"/>
          <w:lang w:val="lv-LV" w:eastAsia="lv-LV"/>
        </w:rPr>
        <w:t>11</w:t>
      </w:r>
      <w:r w:rsidRPr="00726A68">
        <w:rPr>
          <w:rFonts w:ascii="Times New Roman" w:eastAsia="Times New Roman" w:hAnsi="Times New Roman"/>
          <w:sz w:val="24"/>
          <w:szCs w:val="24"/>
          <w:lang w:val="lv-LV" w:eastAsia="lv-LV"/>
        </w:rPr>
        <w:t xml:space="preserve"> panta pirmo daļu un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pirmo un otro daļu</w:t>
      </w:r>
      <w:r w:rsidR="003925DE">
        <w:rPr>
          <w:rFonts w:ascii="Times New Roman" w:eastAsia="Times New Roman" w:hAnsi="Times New Roman"/>
          <w:sz w:val="24"/>
          <w:szCs w:val="24"/>
          <w:lang w:val="lv-LV" w:eastAsia="lv-LV"/>
        </w:rPr>
        <w:t>,</w:t>
      </w:r>
    </w:p>
    <w:p w14:paraId="5489134B" w14:textId="77777777" w:rsidR="003925DE" w:rsidRPr="00726A68" w:rsidRDefault="003925DE" w:rsidP="00D035A6">
      <w:pPr>
        <w:spacing w:after="0" w:line="240" w:lineRule="auto"/>
        <w:ind w:firstLine="709"/>
        <w:jc w:val="both"/>
        <w:rPr>
          <w:rFonts w:ascii="Times New Roman" w:eastAsia="Times New Roman" w:hAnsi="Times New Roman"/>
          <w:sz w:val="24"/>
          <w:szCs w:val="24"/>
          <w:lang w:val="lv-LV" w:eastAsia="lv-LV"/>
        </w:rPr>
      </w:pPr>
    </w:p>
    <w:p w14:paraId="50766602" w14:textId="77777777" w:rsidR="000979D1" w:rsidRPr="000979D1" w:rsidRDefault="000979D1" w:rsidP="000979D1">
      <w:pPr>
        <w:widowControl/>
        <w:spacing w:after="0" w:line="300" w:lineRule="atLeast"/>
        <w:jc w:val="center"/>
        <w:rPr>
          <w:rFonts w:ascii="Times New Roman" w:eastAsia="Times New Roman" w:hAnsi="Times New Roman"/>
          <w:b/>
          <w:bCs/>
          <w:sz w:val="24"/>
          <w:szCs w:val="24"/>
          <w:lang w:val="lv-LV" w:eastAsia="lv-LV"/>
        </w:rPr>
      </w:pPr>
      <w:r w:rsidRPr="000979D1">
        <w:rPr>
          <w:rFonts w:ascii="Times New Roman" w:eastAsia="Times New Roman" w:hAnsi="Times New Roman"/>
          <w:b/>
          <w:bCs/>
          <w:sz w:val="24"/>
          <w:szCs w:val="24"/>
          <w:lang w:val="lv-LV" w:eastAsia="lv-LV"/>
        </w:rPr>
        <w:t>nolemj:</w:t>
      </w:r>
    </w:p>
    <w:p w14:paraId="3EF014E5" w14:textId="77777777" w:rsidR="000979D1" w:rsidRDefault="000979D1" w:rsidP="000979D1">
      <w:pPr>
        <w:widowControl/>
        <w:spacing w:after="0" w:line="300" w:lineRule="atLeast"/>
        <w:rPr>
          <w:rFonts w:ascii="Times New Roman" w:eastAsia="Times New Roman" w:hAnsi="Times New Roman"/>
          <w:sz w:val="24"/>
          <w:szCs w:val="24"/>
          <w:lang w:val="lv-LV" w:eastAsia="lv-LV"/>
        </w:rPr>
      </w:pPr>
    </w:p>
    <w:p w14:paraId="156749E1" w14:textId="4C7D2C4C" w:rsidR="00136159" w:rsidRPr="00136159" w:rsidRDefault="00136159" w:rsidP="00136159">
      <w:pPr>
        <w:widowControl/>
        <w:spacing w:after="0" w:line="300" w:lineRule="atLeast"/>
        <w:jc w:val="both"/>
        <w:rPr>
          <w:rFonts w:ascii="Times New Roman" w:eastAsia="Times New Roman" w:hAnsi="Times New Roman"/>
          <w:sz w:val="24"/>
          <w:szCs w:val="24"/>
          <w:lang w:val="lv-LV" w:eastAsia="lv-LV"/>
        </w:rPr>
      </w:pPr>
      <w:r w:rsidRPr="00136159">
        <w:rPr>
          <w:rFonts w:ascii="Times New Roman" w:eastAsia="Times New Roman" w:hAnsi="Times New Roman"/>
          <w:sz w:val="24"/>
          <w:szCs w:val="24"/>
          <w:lang w:val="lv-LV" w:eastAsia="lv-LV"/>
        </w:rPr>
        <w:t xml:space="preserve">apmierināt </w:t>
      </w:r>
      <w:r w:rsidR="00D703A0">
        <w:rPr>
          <w:rFonts w:ascii="Times New Roman" w:eastAsia="Times New Roman" w:hAnsi="Times New Roman"/>
          <w:sz w:val="24"/>
          <w:szCs w:val="24"/>
          <w:lang w:val="lv-LV" w:eastAsia="lv-LV"/>
        </w:rPr>
        <w:t>patērētājas</w:t>
      </w:r>
      <w:r w:rsidRPr="00136159">
        <w:rPr>
          <w:rFonts w:ascii="Times New Roman" w:eastAsia="Times New Roman" w:hAnsi="Times New Roman"/>
          <w:sz w:val="24"/>
          <w:szCs w:val="24"/>
          <w:lang w:val="lv-LV" w:eastAsia="lv-LV"/>
        </w:rPr>
        <w:t xml:space="preserve"> prasību.</w:t>
      </w:r>
    </w:p>
    <w:p w14:paraId="3689F1DD" w14:textId="77777777" w:rsidR="00136159" w:rsidRPr="00136159" w:rsidRDefault="00136159" w:rsidP="00136159">
      <w:pPr>
        <w:widowControl/>
        <w:spacing w:after="0" w:line="300" w:lineRule="atLeast"/>
        <w:jc w:val="both"/>
        <w:rPr>
          <w:rFonts w:ascii="Times New Roman" w:eastAsia="Times New Roman" w:hAnsi="Times New Roman"/>
          <w:sz w:val="24"/>
          <w:szCs w:val="24"/>
          <w:lang w:val="lv-LV" w:eastAsia="lv-LV"/>
        </w:rPr>
      </w:pPr>
      <w:r w:rsidRPr="00136159">
        <w:rPr>
          <w:rFonts w:ascii="Times New Roman" w:eastAsia="Times New Roman" w:hAnsi="Times New Roman"/>
          <w:sz w:val="24"/>
          <w:szCs w:val="24"/>
          <w:lang w:val="lv-LV" w:eastAsia="lv-LV"/>
        </w:rPr>
        <w:t>Uzdot sabiedrībai ar ierobežotu atbildību “NAMEJS 1”, reģistrācijas Nr. 40003495045, atmaksāt patērētājam par gredzenu samaksāto naudas summu 722,78 EUR un atlīdzināt ekspertīzes izdevumus 34,44 EUR.</w:t>
      </w:r>
    </w:p>
    <w:p w14:paraId="0F6F07BF" w14:textId="77777777" w:rsidR="000979D1" w:rsidRPr="000979D1" w:rsidRDefault="000979D1" w:rsidP="00132B39">
      <w:pPr>
        <w:widowControl/>
        <w:spacing w:after="0" w:line="300" w:lineRule="atLeast"/>
        <w:jc w:val="both"/>
        <w:rPr>
          <w:rFonts w:ascii="Times New Roman" w:eastAsia="Times New Roman" w:hAnsi="Times New Roman"/>
          <w:sz w:val="24"/>
          <w:szCs w:val="24"/>
          <w:lang w:val="lv-LV" w:eastAsia="lv-LV"/>
        </w:rPr>
      </w:pPr>
    </w:p>
    <w:p w14:paraId="5E69CD19" w14:textId="77777777" w:rsidR="000979D1" w:rsidRDefault="000979D1" w:rsidP="000979D1">
      <w:pPr>
        <w:widowControl/>
        <w:spacing w:after="0" w:line="300" w:lineRule="atLeast"/>
        <w:jc w:val="both"/>
        <w:rPr>
          <w:rFonts w:ascii="Times New Roman" w:eastAsia="Times New Roman" w:hAnsi="Times New Roman"/>
          <w:sz w:val="24"/>
          <w:szCs w:val="24"/>
          <w:lang w:val="lv-LV" w:eastAsia="lv-LV"/>
        </w:rPr>
      </w:pPr>
      <w:r w:rsidRPr="000979D1">
        <w:rPr>
          <w:rFonts w:ascii="Times New Roman" w:eastAsia="Times New Roman" w:hAnsi="Times New Roman"/>
          <w:sz w:val="24"/>
          <w:szCs w:val="24"/>
          <w:lang w:val="lv-LV" w:eastAsia="lv-LV"/>
        </w:rPr>
        <w:t>Saskaņā ar Patērētāju tiesību aizsardzības likuma 26.</w:t>
      </w:r>
      <w:r w:rsidRPr="000979D1">
        <w:rPr>
          <w:rFonts w:ascii="Times New Roman" w:eastAsia="Times New Roman" w:hAnsi="Times New Roman"/>
          <w:sz w:val="24"/>
          <w:szCs w:val="24"/>
          <w:vertAlign w:val="superscript"/>
          <w:lang w:val="lv-LV" w:eastAsia="lv-LV"/>
        </w:rPr>
        <w:t>12</w:t>
      </w:r>
      <w:r w:rsidRPr="000979D1">
        <w:rPr>
          <w:rFonts w:ascii="Times New Roman" w:eastAsia="Times New Roman" w:hAnsi="Times New Roman"/>
          <w:sz w:val="24"/>
          <w:szCs w:val="24"/>
          <w:lang w:val="lv-LV" w:eastAsia="lv-LV"/>
        </w:rPr>
        <w:t xml:space="preserve"> panta piekto daļu Komisijas lēmumam ir ieteikuma raksturs un tas nav apstrīdams vai pārsūdzams.</w:t>
      </w:r>
    </w:p>
    <w:p w14:paraId="751E4E62" w14:textId="7DD88913" w:rsidR="00136159" w:rsidRPr="00136159" w:rsidRDefault="00136159" w:rsidP="00136159">
      <w:pPr>
        <w:widowControl/>
        <w:spacing w:after="0" w:line="300" w:lineRule="atLeast"/>
        <w:jc w:val="both"/>
        <w:rPr>
          <w:rFonts w:ascii="Times New Roman" w:eastAsia="Times New Roman" w:hAnsi="Times New Roman"/>
          <w:sz w:val="24"/>
          <w:szCs w:val="24"/>
          <w:lang w:val="lv-LV" w:eastAsia="lv-LV"/>
        </w:rPr>
      </w:pPr>
      <w:r w:rsidRPr="000979D1">
        <w:rPr>
          <w:rFonts w:ascii="Times New Roman" w:eastAsia="Times New Roman" w:hAnsi="Times New Roman"/>
          <w:sz w:val="24"/>
          <w:szCs w:val="24"/>
          <w:lang w:val="lv-LV" w:eastAsia="lv-LV"/>
        </w:rPr>
        <w:t>Saskaņā ar Patērētāju tiesību aizsardzības likuma 26.</w:t>
      </w:r>
      <w:r w:rsidRPr="000979D1">
        <w:rPr>
          <w:rFonts w:ascii="Times New Roman" w:eastAsia="Times New Roman" w:hAnsi="Times New Roman"/>
          <w:sz w:val="24"/>
          <w:szCs w:val="24"/>
          <w:vertAlign w:val="superscript"/>
          <w:lang w:val="lv-LV" w:eastAsia="lv-LV"/>
        </w:rPr>
        <w:t>12</w:t>
      </w:r>
      <w:r w:rsidRPr="000979D1">
        <w:rPr>
          <w:rFonts w:ascii="Times New Roman" w:eastAsia="Times New Roman" w:hAnsi="Times New Roman"/>
          <w:sz w:val="24"/>
          <w:szCs w:val="24"/>
          <w:lang w:val="lv-LV" w:eastAsia="lv-LV"/>
        </w:rPr>
        <w:t xml:space="preserve"> panta </w:t>
      </w:r>
      <w:r w:rsidRPr="00136159">
        <w:rPr>
          <w:rFonts w:ascii="Times New Roman" w:eastAsia="Times New Roman" w:hAnsi="Times New Roman"/>
          <w:sz w:val="24"/>
          <w:szCs w:val="24"/>
          <w:lang w:val="lv-LV" w:eastAsia="lv-LV"/>
        </w:rPr>
        <w:t>septīto daļu Komisijas lēmums ir labprātīgi izpildāms 30 dienu laikā no tā spēkā stāšanās datuma.</w:t>
      </w:r>
    </w:p>
    <w:p w14:paraId="37F91A5D" w14:textId="77777777" w:rsidR="00136159" w:rsidRPr="00136159" w:rsidRDefault="00136159" w:rsidP="000979D1">
      <w:pPr>
        <w:widowControl/>
        <w:spacing w:after="0" w:line="300" w:lineRule="atLeast"/>
        <w:jc w:val="both"/>
        <w:rPr>
          <w:rFonts w:ascii="Times New Roman" w:eastAsia="Times New Roman" w:hAnsi="Times New Roman"/>
          <w:b/>
          <w:bCs/>
          <w:sz w:val="24"/>
          <w:szCs w:val="24"/>
          <w:lang w:val="lv-LV" w:eastAsia="lv-LV"/>
        </w:rPr>
      </w:pPr>
    </w:p>
    <w:p w14:paraId="084E4C77" w14:textId="77777777" w:rsidR="000979D1" w:rsidRDefault="000979D1" w:rsidP="000979D1">
      <w:pPr>
        <w:widowControl/>
        <w:spacing w:after="0" w:line="300" w:lineRule="atLeast"/>
        <w:jc w:val="both"/>
        <w:rPr>
          <w:rFonts w:ascii="Times New Roman" w:eastAsia="Times New Roman" w:hAnsi="Times New Roman"/>
          <w:sz w:val="24"/>
          <w:szCs w:val="24"/>
          <w:lang w:val="lv-LV" w:eastAsia="lv-LV"/>
        </w:rPr>
      </w:pPr>
    </w:p>
    <w:p w14:paraId="16CDC0EF" w14:textId="32D3F442" w:rsidR="000979D1" w:rsidRPr="000979D1" w:rsidRDefault="000979D1" w:rsidP="000979D1">
      <w:pPr>
        <w:widowControl/>
        <w:spacing w:after="0" w:line="300" w:lineRule="atLeast"/>
        <w:jc w:val="both"/>
        <w:rPr>
          <w:rFonts w:ascii="Times New Roman" w:eastAsia="Times New Roman" w:hAnsi="Times New Roman"/>
          <w:sz w:val="24"/>
          <w:szCs w:val="24"/>
          <w:lang w:val="lv-LV" w:eastAsia="lv-LV"/>
        </w:rPr>
      </w:pPr>
      <w:r w:rsidRPr="000979D1">
        <w:rPr>
          <w:rFonts w:ascii="Times New Roman" w:eastAsia="Times New Roman" w:hAnsi="Times New Roman"/>
          <w:b/>
          <w:bCs/>
          <w:i/>
          <w:iCs/>
          <w:sz w:val="24"/>
          <w:szCs w:val="24"/>
          <w:lang w:val="lv-LV" w:eastAsia="lv-LV"/>
        </w:rPr>
        <w:t>Šis dokuments ir parakstīts ar drošu elektronisko parakstu un satur laika zīmogu.</w:t>
      </w:r>
    </w:p>
    <w:p w14:paraId="0521C423" w14:textId="77777777" w:rsidR="000979D1" w:rsidRDefault="000979D1" w:rsidP="000979D1">
      <w:pPr>
        <w:widowControl/>
        <w:spacing w:after="0" w:line="300" w:lineRule="atLeast"/>
        <w:rPr>
          <w:rFonts w:ascii="Times New Roman" w:eastAsia="Times New Roman" w:hAnsi="Times New Roman"/>
          <w:sz w:val="24"/>
          <w:szCs w:val="24"/>
          <w:lang w:val="lv-LV" w:eastAsia="lv-LV"/>
        </w:rPr>
      </w:pPr>
    </w:p>
    <w:p w14:paraId="6E6F60FF" w14:textId="6FBDC016" w:rsidR="000979D1" w:rsidRPr="000979D1" w:rsidRDefault="000979D1" w:rsidP="000979D1">
      <w:pPr>
        <w:widowControl/>
        <w:spacing w:after="0" w:line="300" w:lineRule="atLeast"/>
        <w:rPr>
          <w:rFonts w:ascii="Times New Roman" w:eastAsia="Times New Roman" w:hAnsi="Times New Roman"/>
          <w:sz w:val="24"/>
          <w:szCs w:val="24"/>
          <w:lang w:val="lv-LV" w:eastAsia="lv-LV"/>
        </w:rPr>
      </w:pPr>
      <w:r w:rsidRPr="000979D1">
        <w:rPr>
          <w:rFonts w:ascii="Times New Roman" w:eastAsia="Times New Roman" w:hAnsi="Times New Roman"/>
          <w:sz w:val="24"/>
          <w:szCs w:val="24"/>
          <w:lang w:val="lv-LV" w:eastAsia="lv-LV"/>
        </w:rPr>
        <w:lastRenderedPageBreak/>
        <w:t>Komisijas priekšsēdētāja</w:t>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sidRPr="000979D1">
        <w:rPr>
          <w:rFonts w:ascii="Times New Roman" w:eastAsia="Times New Roman" w:hAnsi="Times New Roman"/>
          <w:sz w:val="24"/>
          <w:szCs w:val="24"/>
          <w:lang w:val="lv-LV" w:eastAsia="lv-LV"/>
        </w:rPr>
        <w:t>Liene Neimane</w:t>
      </w:r>
    </w:p>
    <w:sectPr w:rsidR="000979D1" w:rsidRPr="000979D1"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F2239" w14:textId="77777777" w:rsidR="009C08DC" w:rsidRDefault="009C08DC">
      <w:pPr>
        <w:spacing w:after="0" w:line="240" w:lineRule="auto"/>
      </w:pPr>
      <w:r>
        <w:separator/>
      </w:r>
    </w:p>
  </w:endnote>
  <w:endnote w:type="continuationSeparator" w:id="0">
    <w:p w14:paraId="17D7F2AA" w14:textId="77777777" w:rsidR="009C08DC" w:rsidRDefault="009C0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9D805" w14:textId="77777777" w:rsidR="009C08DC" w:rsidRDefault="009C08DC">
      <w:pPr>
        <w:spacing w:after="0" w:line="240" w:lineRule="auto"/>
      </w:pPr>
      <w:r>
        <w:separator/>
      </w:r>
    </w:p>
  </w:footnote>
  <w:footnote w:type="continuationSeparator" w:id="0">
    <w:p w14:paraId="7341CB41" w14:textId="77777777" w:rsidR="009C08DC" w:rsidRDefault="009C08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566FCEF7" w14:textId="77777777" w:rsidR="004168F1" w:rsidRDefault="004168F1" w:rsidP="004168F1">
    <w:pPr>
      <w:pStyle w:val="Header"/>
      <w:jc w:val="both"/>
      <w:rPr>
        <w:rFonts w:ascii="Times New Roman" w:hAnsi="Times New Roman"/>
        <w:sz w:val="24"/>
        <w:szCs w:val="24"/>
      </w:rPr>
    </w:pPr>
  </w:p>
  <w:p w14:paraId="1A63B585" w14:textId="77777777" w:rsidR="004168F1" w:rsidRPr="006C2746" w:rsidRDefault="004168F1" w:rsidP="004168F1">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30C415AA" wp14:editId="6D7FF2CC">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459B38D" id="Straight Connector 7"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KiKQIAAK4EAAAOAAAAZHJzL2Uyb0RvYy54bWysVMtu2zAQvBfoPxC8x5KcOg/Bcg4J0kvR&#10;Bknanmk+LCIUSZC0Zf99lytFtttTi/pAcMXd4czs0su7fWfIToaonW1oNSspkZY7oe2mod9fHy9u&#10;KImJWcGMs7KhBxnp3erjh2Xvazl3rTNCBgIgNta9b2ibkq+LIvJWdizOnJcWDpULHUsQhk0hAusB&#10;vTPFvCyvit4F4YPjMkb4+jAc0hXiKyV5+qZUlImYhgK3hGvAdZ3XYrVk9SYw32o+0mD/wKJj2sKl&#10;E9QDS4xsg/4DqtM8uOhUmnHXFU4pzSVqADVV+Zual5Z5iVrAnOgnm+L/g+Vfd/f2KYANvY919E8h&#10;q9ir0BFltP8BPUVdwJTs0bbDZJvcJ8Lh46L6dLkowV0OZ9VtuUBbiwEmw/kQ02fpOpI3DTXaZlWs&#10;ZrsvMcHVkPqekj8bS3oAml8DZo6jM1o8amMwyJMh700gOwY9Tfsq9xAQTrIgMjYnS5wAuCQHbptk&#10;eGlFT9ZmG56ZaOj1FcwQJULDRFQ3t2X+wbyCjPklbt9A3kUFSRgxs4EhXxtKgks/dWqxQdmPjJ8l&#10;TLzWhvG3QaTxLRvIIs5Id8xG6hMzjE5IF8em4C4djMxXGfssFdEC2A3twfdydIVxLm16dwazc5kC&#10;D6fC0dtzO88Lx/xcOpD6m+KpAm92Nk3FnbYuDJ09v/3YTDXkgx8nuvN27cQBxxUP4FGgZeMDzq/u&#10;NMby49/M6hcAAAD//wMAUEsDBBQABgAIAAAAIQAJunI/3QAAAAgBAAAPAAAAZHJzL2Rvd25yZXYu&#10;eG1sTI/BTsMwEETvSPyDtUjcqBOISBTiVKgQiRtQkIDbNjZJRLyObKdN/57tCY47M5p9U60XO4q9&#10;8WFwpCBdJSAMtU4P1Cl4f2uuChAhImkcHRkFRxNgXZ+fVVhqd6BXs9/GTnAJhRIV9DFOpZSh7Y3F&#10;sHKTIfa+nbcY+fSd1B4PXG5HeZ0kt9LiQPyhx8lsetP+bGeroGnweRPTxzkcPx++Pnr35F+8U+ry&#10;Yrm/AxHNEv/CcMJndKiZaedm0kGMCvI85aSCmywDwX5RnIQdC3kGsq7k/wH1LwAAAP//AwBQSwEC&#10;LQAUAAYACAAAACEAtoM4kv4AAADhAQAAEwAAAAAAAAAAAAAAAAAAAAAAW0NvbnRlbnRfVHlwZXNd&#10;LnhtbFBLAQItABQABgAIAAAAIQA4/SH/1gAAAJQBAAALAAAAAAAAAAAAAAAAAC8BAABfcmVscy8u&#10;cmVsc1BLAQItABQABgAIAAAAIQBZqiKiKQIAAK4EAAAOAAAAAAAAAAAAAAAAAC4CAABkcnMvZTJv&#10;RG9jLnhtbFBLAQItABQABgAIAAAAIQAJunI/3QAAAAgBAAAPAAAAAAAAAAAAAAAAAIMEAABkcnMv&#10;ZG93bnJldi54bWxQSwUGAAAAAAQABADzAAAAjQU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7E377658" w14:textId="77777777" w:rsidR="004168F1" w:rsidRDefault="004168F1" w:rsidP="004168F1">
    <w:pPr>
      <w:spacing w:before="120" w:after="0" w:line="240" w:lineRule="auto"/>
      <w:ind w:left="23"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Talejas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iela</w:t>
    </w:r>
    <w:proofErr w:type="spellEnd"/>
    <w:r>
      <w:rPr>
        <w:rFonts w:ascii="Times New Roman" w:eastAsia="Times New Roman" w:hAnsi="Times New Roman"/>
        <w:color w:val="231F20"/>
        <w:sz w:val="17"/>
        <w:szCs w:val="17"/>
      </w:rPr>
      <w:t xml:space="preserve"> 1</w:t>
    </w:r>
    <w:r w:rsidRPr="006C2746">
      <w:rPr>
        <w:rFonts w:ascii="Times New Roman" w:eastAsia="Times New Roman" w:hAnsi="Times New Roman"/>
        <w:color w:val="231F20"/>
        <w:sz w:val="17"/>
        <w:szCs w:val="17"/>
      </w:rPr>
      <w:t xml:space="preserve">, </w:t>
    </w:r>
    <w:proofErr w:type="spellStart"/>
    <w:r w:rsidRPr="006C2746">
      <w:rPr>
        <w:rFonts w:ascii="Times New Roman" w:eastAsia="Times New Roman" w:hAnsi="Times New Roman"/>
        <w:color w:val="231F20"/>
        <w:sz w:val="17"/>
        <w:szCs w:val="17"/>
      </w:rPr>
      <w:t>Rīga</w:t>
    </w:r>
    <w:proofErr w:type="spellEnd"/>
    <w:r w:rsidRPr="006C2746">
      <w:rPr>
        <w:rFonts w:ascii="Times New Roman" w:eastAsia="Times New Roman" w:hAnsi="Times New Roman"/>
        <w:color w:val="231F20"/>
        <w:sz w:val="17"/>
        <w:szCs w:val="17"/>
      </w:rPr>
      <w:t>, LV-10</w:t>
    </w:r>
    <w:r>
      <w:rPr>
        <w:rFonts w:ascii="Times New Roman" w:eastAsia="Times New Roman" w:hAnsi="Times New Roman"/>
        <w:color w:val="231F20"/>
        <w:sz w:val="17"/>
        <w:szCs w:val="17"/>
      </w:rPr>
      <w:t>26</w:t>
    </w:r>
    <w:r w:rsidRPr="006C2746">
      <w:rPr>
        <w:rFonts w:ascii="Times New Roman" w:eastAsia="Times New Roman" w:hAnsi="Times New Roman"/>
        <w:color w:val="231F20"/>
        <w:sz w:val="17"/>
        <w:szCs w:val="17"/>
      </w:rPr>
      <w:t xml:space="preserve">, </w:t>
    </w:r>
    <w:proofErr w:type="spellStart"/>
    <w:r w:rsidRPr="006C2746">
      <w:rPr>
        <w:rFonts w:ascii="Times New Roman" w:eastAsia="Times New Roman" w:hAnsi="Times New Roman"/>
        <w:color w:val="231F20"/>
        <w:sz w:val="17"/>
        <w:szCs w:val="17"/>
      </w:rPr>
      <w:t>tālr</w:t>
    </w:r>
    <w:proofErr w:type="spellEnd"/>
    <w:r w:rsidRPr="006C2746">
      <w:rPr>
        <w:rFonts w:ascii="Times New Roman" w:eastAsia="Times New Roman" w:hAnsi="Times New Roman"/>
        <w:color w:val="231F20"/>
        <w:sz w:val="17"/>
        <w:szCs w:val="17"/>
      </w:rPr>
      <w:t xml:space="preserve">. </w:t>
    </w:r>
    <w:r w:rsidRPr="003D09BF">
      <w:rPr>
        <w:rFonts w:ascii="Times New Roman" w:eastAsia="Times New Roman" w:hAnsi="Times New Roman"/>
        <w:color w:val="231F20"/>
        <w:sz w:val="17"/>
        <w:szCs w:val="17"/>
      </w:rPr>
      <w:t>654525</w:t>
    </w:r>
    <w:r>
      <w:rPr>
        <w:rFonts w:ascii="Times New Roman" w:eastAsia="Times New Roman" w:hAnsi="Times New Roman"/>
        <w:color w:val="231F20"/>
        <w:sz w:val="17"/>
        <w:szCs w:val="17"/>
      </w:rPr>
      <w:t>54</w:t>
    </w:r>
    <w:r w:rsidRPr="006C2746">
      <w:rPr>
        <w:rFonts w:ascii="Times New Roman" w:eastAsia="Times New Roman" w:hAnsi="Times New Roman"/>
        <w:color w:val="231F20"/>
        <w:sz w:val="17"/>
        <w:szCs w:val="17"/>
      </w:rPr>
      <w:t>, e-pasts p</w:t>
    </w:r>
    <w:r>
      <w:rPr>
        <w:rFonts w:ascii="Times New Roman" w:eastAsia="Times New Roman" w:hAnsi="Times New Roman"/>
        <w:color w:val="231F20"/>
        <w:sz w:val="17"/>
        <w:szCs w:val="17"/>
      </w:rPr>
      <w:t>asts</w:t>
    </w:r>
    <w:r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25BAD"/>
    <w:rsid w:val="00030349"/>
    <w:rsid w:val="00031194"/>
    <w:rsid w:val="000344F1"/>
    <w:rsid w:val="000445AA"/>
    <w:rsid w:val="00053444"/>
    <w:rsid w:val="00063A6C"/>
    <w:rsid w:val="00066C93"/>
    <w:rsid w:val="00072B7F"/>
    <w:rsid w:val="0008680D"/>
    <w:rsid w:val="00090BF0"/>
    <w:rsid w:val="000936E9"/>
    <w:rsid w:val="0009778B"/>
    <w:rsid w:val="000979D1"/>
    <w:rsid w:val="000A065D"/>
    <w:rsid w:val="000A0E4F"/>
    <w:rsid w:val="000A155A"/>
    <w:rsid w:val="000A192B"/>
    <w:rsid w:val="000A1A1A"/>
    <w:rsid w:val="000A4DDC"/>
    <w:rsid w:val="000A6F3A"/>
    <w:rsid w:val="000B7C62"/>
    <w:rsid w:val="000C5317"/>
    <w:rsid w:val="000E4368"/>
    <w:rsid w:val="000E4465"/>
    <w:rsid w:val="000E5ACF"/>
    <w:rsid w:val="000F1066"/>
    <w:rsid w:val="00104ECE"/>
    <w:rsid w:val="00105236"/>
    <w:rsid w:val="00105A9E"/>
    <w:rsid w:val="001102B4"/>
    <w:rsid w:val="001151B7"/>
    <w:rsid w:val="001158A0"/>
    <w:rsid w:val="00124173"/>
    <w:rsid w:val="001248B5"/>
    <w:rsid w:val="00132B39"/>
    <w:rsid w:val="00136159"/>
    <w:rsid w:val="00136E6C"/>
    <w:rsid w:val="0015408F"/>
    <w:rsid w:val="0015599F"/>
    <w:rsid w:val="00157097"/>
    <w:rsid w:val="001605F6"/>
    <w:rsid w:val="001628BE"/>
    <w:rsid w:val="00166159"/>
    <w:rsid w:val="00174399"/>
    <w:rsid w:val="00182FCD"/>
    <w:rsid w:val="001835C4"/>
    <w:rsid w:val="0019647C"/>
    <w:rsid w:val="001B274D"/>
    <w:rsid w:val="001B380A"/>
    <w:rsid w:val="001B63AF"/>
    <w:rsid w:val="001C048F"/>
    <w:rsid w:val="001C372D"/>
    <w:rsid w:val="001C49ED"/>
    <w:rsid w:val="001C6EAC"/>
    <w:rsid w:val="001D1536"/>
    <w:rsid w:val="001E1B74"/>
    <w:rsid w:val="001E3EB5"/>
    <w:rsid w:val="001F024A"/>
    <w:rsid w:val="001F2539"/>
    <w:rsid w:val="00201876"/>
    <w:rsid w:val="00205315"/>
    <w:rsid w:val="00205D4F"/>
    <w:rsid w:val="0021400F"/>
    <w:rsid w:val="00221B48"/>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A19EF"/>
    <w:rsid w:val="002A2378"/>
    <w:rsid w:val="002B167B"/>
    <w:rsid w:val="002C087E"/>
    <w:rsid w:val="002C3E51"/>
    <w:rsid w:val="002D22D4"/>
    <w:rsid w:val="002D3BC5"/>
    <w:rsid w:val="002D4509"/>
    <w:rsid w:val="002E0E4A"/>
    <w:rsid w:val="002E1474"/>
    <w:rsid w:val="002F68E3"/>
    <w:rsid w:val="0030420A"/>
    <w:rsid w:val="003142AE"/>
    <w:rsid w:val="00321DE1"/>
    <w:rsid w:val="00323BA9"/>
    <w:rsid w:val="00326138"/>
    <w:rsid w:val="003326EA"/>
    <w:rsid w:val="00334FD6"/>
    <w:rsid w:val="0035085F"/>
    <w:rsid w:val="00352049"/>
    <w:rsid w:val="00357081"/>
    <w:rsid w:val="00357149"/>
    <w:rsid w:val="00364166"/>
    <w:rsid w:val="00366376"/>
    <w:rsid w:val="00370425"/>
    <w:rsid w:val="0037216B"/>
    <w:rsid w:val="003722EF"/>
    <w:rsid w:val="00375EF7"/>
    <w:rsid w:val="0038570F"/>
    <w:rsid w:val="00391450"/>
    <w:rsid w:val="00391CBC"/>
    <w:rsid w:val="003925DE"/>
    <w:rsid w:val="003A2C24"/>
    <w:rsid w:val="003A3D43"/>
    <w:rsid w:val="003B0C74"/>
    <w:rsid w:val="003B2670"/>
    <w:rsid w:val="003C1EAB"/>
    <w:rsid w:val="003C2D40"/>
    <w:rsid w:val="003D4737"/>
    <w:rsid w:val="003D5AD8"/>
    <w:rsid w:val="003F302D"/>
    <w:rsid w:val="00407D3A"/>
    <w:rsid w:val="00410759"/>
    <w:rsid w:val="004117CB"/>
    <w:rsid w:val="00414E5E"/>
    <w:rsid w:val="004168F1"/>
    <w:rsid w:val="004179C6"/>
    <w:rsid w:val="00430573"/>
    <w:rsid w:val="0043618C"/>
    <w:rsid w:val="0044519C"/>
    <w:rsid w:val="00445562"/>
    <w:rsid w:val="00452644"/>
    <w:rsid w:val="00452B6C"/>
    <w:rsid w:val="004538BC"/>
    <w:rsid w:val="00455364"/>
    <w:rsid w:val="0045783E"/>
    <w:rsid w:val="00460079"/>
    <w:rsid w:val="004637C0"/>
    <w:rsid w:val="00484A17"/>
    <w:rsid w:val="00495CCD"/>
    <w:rsid w:val="004A1E34"/>
    <w:rsid w:val="004A3967"/>
    <w:rsid w:val="004B2741"/>
    <w:rsid w:val="004B29C1"/>
    <w:rsid w:val="004D01D3"/>
    <w:rsid w:val="004D450D"/>
    <w:rsid w:val="004E3710"/>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82F04"/>
    <w:rsid w:val="0058511C"/>
    <w:rsid w:val="00591939"/>
    <w:rsid w:val="00595C8C"/>
    <w:rsid w:val="00596DD6"/>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367A2"/>
    <w:rsid w:val="006456B7"/>
    <w:rsid w:val="00663C3A"/>
    <w:rsid w:val="006877E8"/>
    <w:rsid w:val="0069116F"/>
    <w:rsid w:val="006965CA"/>
    <w:rsid w:val="006A0CC6"/>
    <w:rsid w:val="006A2252"/>
    <w:rsid w:val="006A7C56"/>
    <w:rsid w:val="006B6EC4"/>
    <w:rsid w:val="006C2746"/>
    <w:rsid w:val="006D4EC4"/>
    <w:rsid w:val="006E0953"/>
    <w:rsid w:val="006E19F4"/>
    <w:rsid w:val="006E5F74"/>
    <w:rsid w:val="006E653E"/>
    <w:rsid w:val="006F5E03"/>
    <w:rsid w:val="007069E7"/>
    <w:rsid w:val="00707204"/>
    <w:rsid w:val="0070724A"/>
    <w:rsid w:val="007112E9"/>
    <w:rsid w:val="007150F1"/>
    <w:rsid w:val="00715561"/>
    <w:rsid w:val="007173D8"/>
    <w:rsid w:val="007237F5"/>
    <w:rsid w:val="00732248"/>
    <w:rsid w:val="00737A54"/>
    <w:rsid w:val="0074730C"/>
    <w:rsid w:val="0075427E"/>
    <w:rsid w:val="0076316E"/>
    <w:rsid w:val="00764302"/>
    <w:rsid w:val="00774AA6"/>
    <w:rsid w:val="00775A73"/>
    <w:rsid w:val="00775CB5"/>
    <w:rsid w:val="007765F8"/>
    <w:rsid w:val="00784FC7"/>
    <w:rsid w:val="00785D42"/>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223BD"/>
    <w:rsid w:val="008243C0"/>
    <w:rsid w:val="008271F1"/>
    <w:rsid w:val="0082787D"/>
    <w:rsid w:val="008347E4"/>
    <w:rsid w:val="008412C2"/>
    <w:rsid w:val="0084746E"/>
    <w:rsid w:val="00862C31"/>
    <w:rsid w:val="00864039"/>
    <w:rsid w:val="00864597"/>
    <w:rsid w:val="00865324"/>
    <w:rsid w:val="00867C37"/>
    <w:rsid w:val="00872D95"/>
    <w:rsid w:val="00874AE1"/>
    <w:rsid w:val="00876C21"/>
    <w:rsid w:val="00880136"/>
    <w:rsid w:val="00883B7C"/>
    <w:rsid w:val="008962EF"/>
    <w:rsid w:val="008B2051"/>
    <w:rsid w:val="008C3D52"/>
    <w:rsid w:val="008E2D88"/>
    <w:rsid w:val="00902924"/>
    <w:rsid w:val="00916255"/>
    <w:rsid w:val="00917A4D"/>
    <w:rsid w:val="00922593"/>
    <w:rsid w:val="00924F17"/>
    <w:rsid w:val="00930216"/>
    <w:rsid w:val="00932DC3"/>
    <w:rsid w:val="00940677"/>
    <w:rsid w:val="00945973"/>
    <w:rsid w:val="00952CD2"/>
    <w:rsid w:val="00953942"/>
    <w:rsid w:val="00961031"/>
    <w:rsid w:val="009615C6"/>
    <w:rsid w:val="009629D4"/>
    <w:rsid w:val="00967F76"/>
    <w:rsid w:val="00982380"/>
    <w:rsid w:val="009851AB"/>
    <w:rsid w:val="009863D5"/>
    <w:rsid w:val="00990A11"/>
    <w:rsid w:val="009A1ED8"/>
    <w:rsid w:val="009B3A35"/>
    <w:rsid w:val="009B4D54"/>
    <w:rsid w:val="009B7084"/>
    <w:rsid w:val="009C08DC"/>
    <w:rsid w:val="009C4082"/>
    <w:rsid w:val="009C49C4"/>
    <w:rsid w:val="009D0E29"/>
    <w:rsid w:val="009D3FE4"/>
    <w:rsid w:val="009D686D"/>
    <w:rsid w:val="009F6A76"/>
    <w:rsid w:val="00A07955"/>
    <w:rsid w:val="00A21225"/>
    <w:rsid w:val="00A2759B"/>
    <w:rsid w:val="00A34987"/>
    <w:rsid w:val="00A3728F"/>
    <w:rsid w:val="00A37CAD"/>
    <w:rsid w:val="00A460D9"/>
    <w:rsid w:val="00A51F4C"/>
    <w:rsid w:val="00A54D72"/>
    <w:rsid w:val="00A57583"/>
    <w:rsid w:val="00A61FA0"/>
    <w:rsid w:val="00A6559A"/>
    <w:rsid w:val="00A66B08"/>
    <w:rsid w:val="00A82ACB"/>
    <w:rsid w:val="00A83ABB"/>
    <w:rsid w:val="00A84310"/>
    <w:rsid w:val="00A94670"/>
    <w:rsid w:val="00A94C16"/>
    <w:rsid w:val="00A94FE0"/>
    <w:rsid w:val="00A95BEA"/>
    <w:rsid w:val="00A969CC"/>
    <w:rsid w:val="00A9793C"/>
    <w:rsid w:val="00AA506B"/>
    <w:rsid w:val="00AA561E"/>
    <w:rsid w:val="00AA7F6E"/>
    <w:rsid w:val="00AB38C3"/>
    <w:rsid w:val="00AB7AE7"/>
    <w:rsid w:val="00AC3043"/>
    <w:rsid w:val="00AD147F"/>
    <w:rsid w:val="00AD61DF"/>
    <w:rsid w:val="00AF411B"/>
    <w:rsid w:val="00B02035"/>
    <w:rsid w:val="00B03312"/>
    <w:rsid w:val="00B07DED"/>
    <w:rsid w:val="00B10639"/>
    <w:rsid w:val="00B15FF7"/>
    <w:rsid w:val="00B32424"/>
    <w:rsid w:val="00B44D66"/>
    <w:rsid w:val="00B468FF"/>
    <w:rsid w:val="00B55BFD"/>
    <w:rsid w:val="00B606FD"/>
    <w:rsid w:val="00B70E15"/>
    <w:rsid w:val="00B75959"/>
    <w:rsid w:val="00B7738A"/>
    <w:rsid w:val="00B90115"/>
    <w:rsid w:val="00B9418E"/>
    <w:rsid w:val="00BA2321"/>
    <w:rsid w:val="00BA4E95"/>
    <w:rsid w:val="00BA5E6B"/>
    <w:rsid w:val="00BA7891"/>
    <w:rsid w:val="00BB3D45"/>
    <w:rsid w:val="00BB5453"/>
    <w:rsid w:val="00BC39F6"/>
    <w:rsid w:val="00BC40CB"/>
    <w:rsid w:val="00BC6F7A"/>
    <w:rsid w:val="00BD361B"/>
    <w:rsid w:val="00BE0D4D"/>
    <w:rsid w:val="00BE2BE9"/>
    <w:rsid w:val="00BE55B5"/>
    <w:rsid w:val="00BF18D1"/>
    <w:rsid w:val="00BF5869"/>
    <w:rsid w:val="00C04630"/>
    <w:rsid w:val="00C07C89"/>
    <w:rsid w:val="00C14592"/>
    <w:rsid w:val="00C17432"/>
    <w:rsid w:val="00C21DDD"/>
    <w:rsid w:val="00C2214B"/>
    <w:rsid w:val="00C225F4"/>
    <w:rsid w:val="00C32FEE"/>
    <w:rsid w:val="00C36F8C"/>
    <w:rsid w:val="00C40E61"/>
    <w:rsid w:val="00C47CC2"/>
    <w:rsid w:val="00C47F57"/>
    <w:rsid w:val="00C6438B"/>
    <w:rsid w:val="00C65DF1"/>
    <w:rsid w:val="00C67FA0"/>
    <w:rsid w:val="00C87D32"/>
    <w:rsid w:val="00C90972"/>
    <w:rsid w:val="00C90C7A"/>
    <w:rsid w:val="00C9168E"/>
    <w:rsid w:val="00C919E2"/>
    <w:rsid w:val="00C92432"/>
    <w:rsid w:val="00C97BCC"/>
    <w:rsid w:val="00CA0C2F"/>
    <w:rsid w:val="00CA446F"/>
    <w:rsid w:val="00CB09FA"/>
    <w:rsid w:val="00CC60E9"/>
    <w:rsid w:val="00CD22C6"/>
    <w:rsid w:val="00CE287D"/>
    <w:rsid w:val="00CE5DD9"/>
    <w:rsid w:val="00CF26CB"/>
    <w:rsid w:val="00CF4BA9"/>
    <w:rsid w:val="00CF54A6"/>
    <w:rsid w:val="00CF57E6"/>
    <w:rsid w:val="00D035A6"/>
    <w:rsid w:val="00D0474C"/>
    <w:rsid w:val="00D04CC5"/>
    <w:rsid w:val="00D058AF"/>
    <w:rsid w:val="00D16EAA"/>
    <w:rsid w:val="00D21FA6"/>
    <w:rsid w:val="00D25C53"/>
    <w:rsid w:val="00D27900"/>
    <w:rsid w:val="00D30A0C"/>
    <w:rsid w:val="00D42A58"/>
    <w:rsid w:val="00D571EC"/>
    <w:rsid w:val="00D57E8C"/>
    <w:rsid w:val="00D703A0"/>
    <w:rsid w:val="00D7192C"/>
    <w:rsid w:val="00D7621A"/>
    <w:rsid w:val="00D839B1"/>
    <w:rsid w:val="00D942E3"/>
    <w:rsid w:val="00D94A38"/>
    <w:rsid w:val="00DA7F57"/>
    <w:rsid w:val="00DB356D"/>
    <w:rsid w:val="00DC196B"/>
    <w:rsid w:val="00DC3AF7"/>
    <w:rsid w:val="00DC5AB4"/>
    <w:rsid w:val="00DD0499"/>
    <w:rsid w:val="00DD24D0"/>
    <w:rsid w:val="00DD2F8E"/>
    <w:rsid w:val="00DF07D6"/>
    <w:rsid w:val="00DF4EE9"/>
    <w:rsid w:val="00E0079A"/>
    <w:rsid w:val="00E075E8"/>
    <w:rsid w:val="00E10D9E"/>
    <w:rsid w:val="00E1317C"/>
    <w:rsid w:val="00E16FA9"/>
    <w:rsid w:val="00E20059"/>
    <w:rsid w:val="00E27B55"/>
    <w:rsid w:val="00E31083"/>
    <w:rsid w:val="00E31AA8"/>
    <w:rsid w:val="00E3423C"/>
    <w:rsid w:val="00E34692"/>
    <w:rsid w:val="00E365CE"/>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7BFC"/>
    <w:rsid w:val="00EE35D0"/>
    <w:rsid w:val="00EF165D"/>
    <w:rsid w:val="00F00572"/>
    <w:rsid w:val="00F017FD"/>
    <w:rsid w:val="00F146B6"/>
    <w:rsid w:val="00F1681E"/>
    <w:rsid w:val="00F3541E"/>
    <w:rsid w:val="00F37C3B"/>
    <w:rsid w:val="00F40D0D"/>
    <w:rsid w:val="00F50C13"/>
    <w:rsid w:val="00F52303"/>
    <w:rsid w:val="00F61AB1"/>
    <w:rsid w:val="00F621F7"/>
    <w:rsid w:val="00F62F2A"/>
    <w:rsid w:val="00F713DB"/>
    <w:rsid w:val="00F716E5"/>
    <w:rsid w:val="00F7538C"/>
    <w:rsid w:val="00F80A51"/>
    <w:rsid w:val="00F80D37"/>
    <w:rsid w:val="00F90962"/>
    <w:rsid w:val="00F9323A"/>
    <w:rsid w:val="00FA165F"/>
    <w:rsid w:val="00FA26DB"/>
    <w:rsid w:val="00FA42BA"/>
    <w:rsid w:val="00FA57EE"/>
    <w:rsid w:val="00FA5D90"/>
    <w:rsid w:val="00FA6F66"/>
    <w:rsid w:val="00FB075C"/>
    <w:rsid w:val="00FB207C"/>
    <w:rsid w:val="00FB47DD"/>
    <w:rsid w:val="00FB5AF5"/>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8F1"/>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097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712</Words>
  <Characters>4733</Characters>
  <Application>Microsoft Office Word</Application>
  <DocSecurity>0</DocSecurity>
  <Lines>87</Lines>
  <Paragraphs>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5412</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neimane@neimanepartners.com</dc:creator>
  <cp:lastModifiedBy>Inta Bērante-Sukaruka</cp:lastModifiedBy>
  <cp:revision>2</cp:revision>
  <cp:lastPrinted>2021-12-06T11:50:00Z</cp:lastPrinted>
  <dcterms:created xsi:type="dcterms:W3CDTF">2026-10-02T09:31:00Z</dcterms:created>
  <dcterms:modified xsi:type="dcterms:W3CDTF">2026-10-02T09:31:00Z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