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E48E" w14:textId="77777777" w:rsidR="00F45AE4" w:rsidRDefault="00F45AE4" w:rsidP="00963C58">
      <w:pPr>
        <w:widowControl/>
        <w:spacing w:before="240" w:after="0" w:line="240" w:lineRule="auto"/>
        <w:jc w:val="center"/>
        <w:rPr>
          <w:rFonts w:ascii="Times New Roman" w:eastAsia="Times New Roman" w:hAnsi="Times New Roman"/>
          <w:b/>
          <w:sz w:val="24"/>
          <w:lang w:val="lv-LV" w:eastAsia="lv-LV"/>
        </w:rPr>
      </w:pPr>
      <w:bookmarkStart w:id="0" w:name="_Hlk68767604"/>
      <w:bookmarkStart w:id="1" w:name="_Hlk99706303"/>
      <w:bookmarkStart w:id="2" w:name="_Hlk168493637"/>
    </w:p>
    <w:p w14:paraId="36B46F3A" w14:textId="27E7A7FD" w:rsidR="00830788" w:rsidRPr="00830788" w:rsidRDefault="00883B7E" w:rsidP="00830788">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patērētājs</w:t>
      </w:r>
    </w:p>
    <w:p w14:paraId="431BE7E0" w14:textId="77777777" w:rsidR="00830788" w:rsidRPr="00830788" w:rsidRDefault="00830788" w:rsidP="00830788">
      <w:pPr>
        <w:widowControl/>
        <w:spacing w:after="0" w:line="240" w:lineRule="auto"/>
        <w:jc w:val="right"/>
        <w:rPr>
          <w:rFonts w:ascii="Times New Roman" w:eastAsia="Times New Roman" w:hAnsi="Times New Roman"/>
          <w:b/>
          <w:sz w:val="24"/>
          <w:lang w:val="lv-LV" w:eastAsia="lv-LV"/>
        </w:rPr>
      </w:pPr>
    </w:p>
    <w:p w14:paraId="0F9E5B59" w14:textId="380A86D6" w:rsidR="00830788" w:rsidRDefault="00883B7E" w:rsidP="00830788">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1A0289D3" w:rsidR="00963C58" w:rsidRDefault="00F45AE4"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02</w:t>
      </w:r>
      <w:r w:rsidR="00B23182">
        <w:rPr>
          <w:rFonts w:ascii="Times New Roman" w:eastAsia="Times New Roman" w:hAnsi="Times New Roman"/>
          <w:sz w:val="24"/>
          <w:lang w:val="lv-LV" w:eastAsia="lv-LV"/>
        </w:rPr>
        <w:t>.</w:t>
      </w:r>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830788">
        <w:rPr>
          <w:rFonts w:ascii="Times New Roman" w:eastAsia="Times New Roman" w:hAnsi="Times New Roman"/>
          <w:sz w:val="24"/>
          <w:lang w:val="lv-LV" w:eastAsia="lv-LV"/>
        </w:rPr>
        <w:t>363</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045DE60C" w14:textId="76FAC253" w:rsidR="007957DB" w:rsidRPr="007957DB" w:rsidRDefault="00963C58" w:rsidP="007957DB">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F45AE4">
        <w:rPr>
          <w:rFonts w:ascii="Times New Roman" w:eastAsia="Times New Roman" w:hAnsi="Times New Roman"/>
          <w:sz w:val="24"/>
          <w:lang w:val="lv-LV" w:eastAsia="lv-LV"/>
        </w:rPr>
        <w:t>Andrejs Vanags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Ilze Pelša</w:t>
      </w:r>
      <w:r w:rsidR="00F45AE4">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w:t>
      </w:r>
      <w:r w:rsidR="00E47224" w:rsidRPr="00E47224">
        <w:rPr>
          <w:rFonts w:ascii="Times New Roman" w:eastAsia="Times New Roman" w:hAnsi="Times New Roman"/>
          <w:sz w:val="24"/>
          <w:lang w:val="lv-LV" w:eastAsia="lv-LV"/>
        </w:rPr>
        <w:t xml:space="preserve">strīdu starp patērētāju </w:t>
      </w:r>
      <w:r w:rsidR="007957DB" w:rsidRPr="007957DB">
        <w:rPr>
          <w:rFonts w:ascii="Times New Roman" w:eastAsia="Times New Roman" w:hAnsi="Times New Roman"/>
          <w:sz w:val="24"/>
          <w:lang w:val="lv-LV" w:eastAsia="lv-LV"/>
        </w:rPr>
        <w:t>un sabiedrīb</w:t>
      </w:r>
      <w:r w:rsidR="00883B7E">
        <w:rPr>
          <w:rFonts w:ascii="Times New Roman" w:eastAsia="Times New Roman" w:hAnsi="Times New Roman"/>
          <w:sz w:val="24"/>
          <w:lang w:val="lv-LV" w:eastAsia="lv-LV"/>
        </w:rPr>
        <w:t>u</w:t>
      </w:r>
      <w:r w:rsidR="007957DB" w:rsidRPr="007957DB">
        <w:rPr>
          <w:rFonts w:ascii="Times New Roman" w:eastAsia="Times New Roman" w:hAnsi="Times New Roman"/>
          <w:sz w:val="24"/>
          <w:lang w:val="lv-LV" w:eastAsia="lv-LV"/>
        </w:rPr>
        <w:t xml:space="preserve"> saistībā ar autokrēsliņa </w:t>
      </w:r>
      <w:proofErr w:type="spellStart"/>
      <w:r w:rsidR="007957DB" w:rsidRPr="007957DB">
        <w:rPr>
          <w:rFonts w:ascii="Times New Roman" w:eastAsia="Times New Roman" w:hAnsi="Times New Roman"/>
          <w:sz w:val="24"/>
          <w:lang w:val="lv-LV" w:eastAsia="lv-LV"/>
        </w:rPr>
        <w:t>BeSafe</w:t>
      </w:r>
      <w:proofErr w:type="spellEnd"/>
      <w:r w:rsidR="007957DB" w:rsidRPr="007957DB">
        <w:rPr>
          <w:rFonts w:ascii="Times New Roman" w:eastAsia="Times New Roman" w:hAnsi="Times New Roman"/>
          <w:sz w:val="24"/>
          <w:lang w:val="lv-LV" w:eastAsia="lv-LV"/>
        </w:rPr>
        <w:t xml:space="preserve"> </w:t>
      </w:r>
      <w:proofErr w:type="spellStart"/>
      <w:r w:rsidR="007957DB" w:rsidRPr="007957DB">
        <w:rPr>
          <w:rFonts w:ascii="Times New Roman" w:eastAsia="Times New Roman" w:hAnsi="Times New Roman"/>
          <w:sz w:val="24"/>
          <w:lang w:val="lv-LV" w:eastAsia="lv-LV"/>
        </w:rPr>
        <w:t>Go</w:t>
      </w:r>
      <w:proofErr w:type="spellEnd"/>
      <w:r w:rsidR="007957DB" w:rsidRPr="007957DB">
        <w:rPr>
          <w:rFonts w:ascii="Times New Roman" w:eastAsia="Times New Roman" w:hAnsi="Times New Roman"/>
          <w:sz w:val="24"/>
          <w:lang w:val="lv-LV" w:eastAsia="lv-LV"/>
        </w:rPr>
        <w:t xml:space="preserve"> </w:t>
      </w:r>
      <w:proofErr w:type="spellStart"/>
      <w:r w:rsidR="007957DB" w:rsidRPr="007957DB">
        <w:rPr>
          <w:rFonts w:ascii="Times New Roman" w:eastAsia="Times New Roman" w:hAnsi="Times New Roman"/>
          <w:sz w:val="24"/>
          <w:lang w:val="lv-LV" w:eastAsia="lv-LV"/>
        </w:rPr>
        <w:t>Beyond</w:t>
      </w:r>
      <w:proofErr w:type="spellEnd"/>
      <w:r w:rsidR="007957DB" w:rsidRPr="007957DB">
        <w:rPr>
          <w:rFonts w:ascii="Times New Roman" w:eastAsia="Times New Roman" w:hAnsi="Times New Roman"/>
          <w:sz w:val="24"/>
          <w:lang w:val="lv-LV" w:eastAsia="lv-LV"/>
        </w:rPr>
        <w:t xml:space="preserve"> un tā bāzes </w:t>
      </w:r>
      <w:proofErr w:type="spellStart"/>
      <w:r w:rsidR="007957DB" w:rsidRPr="007957DB">
        <w:rPr>
          <w:rFonts w:ascii="Times New Roman" w:eastAsia="Times New Roman" w:hAnsi="Times New Roman"/>
          <w:sz w:val="24"/>
          <w:lang w:val="lv-LV" w:eastAsia="lv-LV"/>
        </w:rPr>
        <w:t>BeSafe</w:t>
      </w:r>
      <w:proofErr w:type="spellEnd"/>
      <w:r w:rsidR="007957DB" w:rsidRPr="007957DB">
        <w:rPr>
          <w:rFonts w:ascii="Times New Roman" w:eastAsia="Times New Roman" w:hAnsi="Times New Roman"/>
          <w:sz w:val="24"/>
          <w:lang w:val="lv-LV" w:eastAsia="lv-LV"/>
        </w:rPr>
        <w:t xml:space="preserve"> </w:t>
      </w:r>
      <w:proofErr w:type="spellStart"/>
      <w:r w:rsidR="007957DB" w:rsidRPr="007957DB">
        <w:rPr>
          <w:rFonts w:ascii="Times New Roman" w:eastAsia="Times New Roman" w:hAnsi="Times New Roman"/>
          <w:sz w:val="24"/>
          <w:lang w:val="lv-LV" w:eastAsia="lv-LV"/>
        </w:rPr>
        <w:t>Beyond</w:t>
      </w:r>
      <w:proofErr w:type="spellEnd"/>
      <w:r w:rsidR="007957DB" w:rsidRPr="007957DB">
        <w:rPr>
          <w:rFonts w:ascii="Times New Roman" w:eastAsia="Times New Roman" w:hAnsi="Times New Roman"/>
          <w:sz w:val="24"/>
          <w:lang w:val="lv-LV" w:eastAsia="lv-LV"/>
        </w:rPr>
        <w:t xml:space="preserve"> neatbilstību līguma noteikumiem un patērētāja prasību par pirkuma maksas atmaksu.</w:t>
      </w:r>
    </w:p>
    <w:p w14:paraId="214F1927" w14:textId="77777777" w:rsidR="007957DB" w:rsidRPr="007957DB" w:rsidRDefault="007957DB" w:rsidP="007957DB">
      <w:pPr>
        <w:widowControl/>
        <w:spacing w:after="0"/>
        <w:ind w:firstLine="720"/>
        <w:jc w:val="both"/>
        <w:rPr>
          <w:rFonts w:ascii="Times New Roman" w:eastAsia="Times New Roman" w:hAnsi="Times New Roman"/>
          <w:sz w:val="24"/>
          <w:lang w:val="lv-LV" w:eastAsia="lv-LV"/>
        </w:rPr>
      </w:pPr>
    </w:p>
    <w:p w14:paraId="7284A8E2" w14:textId="77777777" w:rsidR="007957DB" w:rsidRPr="007957DB" w:rsidRDefault="007957DB" w:rsidP="007957DB">
      <w:pPr>
        <w:widowControl/>
        <w:spacing w:after="0"/>
        <w:ind w:firstLine="720"/>
        <w:jc w:val="both"/>
        <w:rPr>
          <w:rFonts w:ascii="Times New Roman" w:eastAsia="Times New Roman" w:hAnsi="Times New Roman"/>
          <w:sz w:val="24"/>
          <w:lang w:val="lv-LV" w:eastAsia="lv-LV"/>
        </w:rPr>
      </w:pPr>
      <w:r w:rsidRPr="007957DB">
        <w:rPr>
          <w:rFonts w:ascii="Times New Roman" w:eastAsia="Times New Roman" w:hAnsi="Times New Roman"/>
          <w:sz w:val="24"/>
          <w:lang w:val="lv-LV" w:eastAsia="lv-LV"/>
        </w:rPr>
        <w:t>No lietas materiāliem izriet, ka patērētājs 2025. gada 27. novembrī sabiedrības tirdzniecības vietā iegādājās autokrēsliņu jaundzimušajam un tam paredzēto bāzi par kopējo summu 658 EUR. Prece netika lietota līdz 2026. gada 11. janvārim, kad, to uzstādot automašīnā, patērētājs konstatēja būtisku brīvkustību autokrēsliņa un bāzes savienojuma vietā. Patērētājs norādīja, ka šāda kustība rada bažas par bērna drošību un nav bijusi konstatējama pirms iegādes, kā arī par to netika sniegta informācija. Patērētājs 2026. gada 13. un 14. janvārī vērsās sabiedrībā, lūdzot pieņemt preci atpakaļ un atmaksāt naudu, taču sabiedrība atteicās, norādot, ka prece ir atbilstoša un kustība ir normāla konstrukcijas īpatnība. Patērētājs 2026. gada 28. janvārī iesniedza rakstveida pretenziju, uz kuru sabiedrība atbildēja 2026. gada 13. februārī, noraidot prasību. Patērētājs vērsās PTAC, norādot, ka preces būtiska īpašība – brīvkustība – nav bijusi atklāta pirms iegādes, un ka sabiedrība nav nodrošinājusi pilnīgu un vispusīgu informāciju par preci. PTAC konstatēja, ka strīdu nav izdevies atrisināt un nodeva to Komisijai.</w:t>
      </w:r>
    </w:p>
    <w:p w14:paraId="664FDD63" w14:textId="77777777" w:rsidR="007957DB" w:rsidRPr="007957DB" w:rsidRDefault="007957DB" w:rsidP="007957DB">
      <w:pPr>
        <w:widowControl/>
        <w:spacing w:after="0"/>
        <w:ind w:firstLine="720"/>
        <w:jc w:val="both"/>
        <w:rPr>
          <w:rFonts w:ascii="Times New Roman" w:eastAsia="Times New Roman" w:hAnsi="Times New Roman"/>
          <w:sz w:val="24"/>
          <w:lang w:val="lv-LV" w:eastAsia="lv-LV"/>
        </w:rPr>
      </w:pPr>
    </w:p>
    <w:p w14:paraId="1B803900" w14:textId="77777777" w:rsidR="00A42FB6" w:rsidRDefault="007957DB" w:rsidP="007957DB">
      <w:pPr>
        <w:widowControl/>
        <w:spacing w:after="0"/>
        <w:ind w:firstLine="720"/>
        <w:jc w:val="both"/>
        <w:rPr>
          <w:rFonts w:ascii="Times New Roman" w:eastAsia="Times New Roman" w:hAnsi="Times New Roman"/>
          <w:sz w:val="24"/>
          <w:lang w:val="lv-LV" w:eastAsia="lv-LV"/>
        </w:rPr>
      </w:pPr>
      <w:r w:rsidRPr="007957DB">
        <w:rPr>
          <w:rFonts w:ascii="Times New Roman" w:eastAsia="Times New Roman" w:hAnsi="Times New Roman"/>
          <w:sz w:val="24"/>
          <w:lang w:val="lv-LV" w:eastAsia="lv-LV"/>
        </w:rPr>
        <w:t xml:space="preserve">Komisija, izvērtējot lietā esošos apstākļus, secina, ka starp pusēm ir noslēgts klātienes pirkuma līgums, kurā pārdevējam ir pienākums nodrošināt preces atbilstību līguma noteikumiem un sniegt patērētājam pilnīgu un vispusīgu informāciju par preces galvenajām īpašībām. Saskaņā ar Patērētāju tiesību aizsardzības likuma 13. panta trešo daļu, ja neatbilstība atklājas gada laikā pēc preces piegādes, uzskatāms, ka tā pastāvējusi piegādes brīdī, izņemot gadījumus, kad šāds pieņēmums ir pretrunā ar preces raksturu vai neatbilstības veidu. </w:t>
      </w:r>
    </w:p>
    <w:p w14:paraId="774EA9FD" w14:textId="77777777" w:rsidR="00A42FB6" w:rsidRPr="00A42FB6" w:rsidRDefault="00A42FB6" w:rsidP="00A42FB6">
      <w:pPr>
        <w:widowControl/>
        <w:spacing w:after="0"/>
        <w:ind w:firstLine="720"/>
        <w:jc w:val="both"/>
        <w:rPr>
          <w:rFonts w:ascii="Times New Roman" w:eastAsia="Times New Roman" w:hAnsi="Times New Roman"/>
          <w:sz w:val="24"/>
          <w:lang w:val="lv-LV" w:eastAsia="lv-LV"/>
        </w:rPr>
      </w:pPr>
      <w:r w:rsidRPr="00A42FB6">
        <w:rPr>
          <w:rFonts w:ascii="Times New Roman" w:eastAsia="Times New Roman" w:hAnsi="Times New Roman"/>
          <w:sz w:val="24"/>
          <w:lang w:val="lv-LV" w:eastAsia="lv-LV"/>
        </w:rPr>
        <w:t xml:space="preserve">Komisija ņem vērā sabiedrības sniegto informāciju, ka autokrēsliņa un bāzes savienojuma kustība ir šī modeļa konstrukcijas īpatnība, kas neietekmē drošību un ir paredzēta ražotāja tehniskajā risinājumā. Komisijai nav iesniegti pierādījumi, kas apstiprinātu, ka konstatētā kustība pārsniedz ražotāja pieļaujamo toleranci vai ka tā radītu faktisku drošības </w:t>
      </w:r>
      <w:r w:rsidRPr="00A42FB6">
        <w:rPr>
          <w:rFonts w:ascii="Times New Roman" w:eastAsia="Times New Roman" w:hAnsi="Times New Roman"/>
          <w:sz w:val="24"/>
          <w:lang w:val="lv-LV" w:eastAsia="lv-LV"/>
        </w:rPr>
        <w:lastRenderedPageBreak/>
        <w:t>risku. No lietas materiāliem neizriet, ka prece būtu bojāta, deformēta vai neatbilstoša drošības standartiem, un patērētājs nav iesniedzis tehnisku ekspertīzi, kas apstiprinātu neatbilstību. Komisija konstatē, ka patērētāja subjektīvais satraukums par kustību pats par sevi nav pietiekams pamats neatbilstības konstatēšanai, ja kustība ir paredzēta konstrukcijā un neietekmē preces funkcionālo drošību.</w:t>
      </w:r>
    </w:p>
    <w:p w14:paraId="1FDC4885" w14:textId="77777777" w:rsidR="00A42FB6" w:rsidRPr="00A42FB6" w:rsidRDefault="00A42FB6" w:rsidP="00A42FB6">
      <w:pPr>
        <w:widowControl/>
        <w:spacing w:after="0"/>
        <w:ind w:firstLine="720"/>
        <w:jc w:val="both"/>
        <w:rPr>
          <w:rFonts w:ascii="Times New Roman" w:eastAsia="Times New Roman" w:hAnsi="Times New Roman"/>
          <w:sz w:val="24"/>
          <w:lang w:val="lv-LV" w:eastAsia="lv-LV"/>
        </w:rPr>
      </w:pPr>
    </w:p>
    <w:p w14:paraId="60D6E8A9" w14:textId="2D27D81B" w:rsidR="00A42FB6" w:rsidRPr="00A42FB6" w:rsidRDefault="00A42FB6" w:rsidP="00A42FB6">
      <w:pPr>
        <w:widowControl/>
        <w:spacing w:after="0"/>
        <w:ind w:firstLine="720"/>
        <w:jc w:val="both"/>
        <w:rPr>
          <w:rFonts w:ascii="Times New Roman" w:eastAsia="Times New Roman" w:hAnsi="Times New Roman"/>
          <w:sz w:val="24"/>
          <w:lang w:val="lv-LV" w:eastAsia="lv-LV"/>
        </w:rPr>
      </w:pPr>
      <w:r w:rsidRPr="00A42FB6">
        <w:rPr>
          <w:rFonts w:ascii="Times New Roman" w:eastAsia="Times New Roman" w:hAnsi="Times New Roman"/>
          <w:sz w:val="24"/>
          <w:lang w:val="lv-LV" w:eastAsia="lv-LV"/>
        </w:rPr>
        <w:t xml:space="preserve">Komisija izvērtē patērētāja argumentu, ka kustība “nav bijusi konstatējama pirms iegādes” un “nav bijusi demonstrēta” . Komisija secina, ka klātienes pirkuma gadījumā patērētājam ir bijusi iespēja apskatīt preci, un lietā nav pierādīts, ka sabiedrība būtu sniegusi nepatiesu vai maldinošu informāciju par preces galvenajām īpašībām. Brīvkustība savienojuma vietā nav preces defekts, bet gan konstrukcijas īpatnība, kas nav prece, par kuru būtu jāsniedz īpaša brīdinājuma informācija, ja tā neietekmē drošību un atbilst ražotāja specifikācijai. </w:t>
      </w:r>
    </w:p>
    <w:p w14:paraId="2FA88D23" w14:textId="77777777" w:rsidR="00A42FB6" w:rsidRPr="00A42FB6" w:rsidRDefault="00A42FB6" w:rsidP="00A42FB6">
      <w:pPr>
        <w:widowControl/>
        <w:spacing w:after="0"/>
        <w:ind w:firstLine="720"/>
        <w:jc w:val="both"/>
        <w:rPr>
          <w:rFonts w:ascii="Times New Roman" w:eastAsia="Times New Roman" w:hAnsi="Times New Roman"/>
          <w:sz w:val="24"/>
          <w:lang w:val="lv-LV" w:eastAsia="lv-LV"/>
        </w:rPr>
      </w:pPr>
    </w:p>
    <w:p w14:paraId="1A0182A4" w14:textId="703B4736" w:rsidR="00A42FB6" w:rsidRDefault="00A42FB6" w:rsidP="00A42FB6">
      <w:pPr>
        <w:widowControl/>
        <w:spacing w:after="0"/>
        <w:ind w:firstLine="720"/>
        <w:jc w:val="both"/>
        <w:rPr>
          <w:rFonts w:ascii="Times New Roman" w:eastAsia="Times New Roman" w:hAnsi="Times New Roman"/>
          <w:sz w:val="24"/>
          <w:lang w:val="lv-LV" w:eastAsia="lv-LV"/>
        </w:rPr>
      </w:pPr>
      <w:r w:rsidRPr="00A42FB6">
        <w:rPr>
          <w:rFonts w:ascii="Times New Roman" w:eastAsia="Times New Roman" w:hAnsi="Times New Roman"/>
          <w:sz w:val="24"/>
          <w:lang w:val="lv-LV" w:eastAsia="lv-LV"/>
        </w:rPr>
        <w:t>Komisija konstatē, ka Patērētāju tiesību aizsardzības likuma 14. panta pirmajā daļā noteiktais kritērijs par atbilstību sniegtajam aprakstam un galvenajām īpašībām šajā gadījumā nav pārkāpts, jo lietā nav pierādīts, ka prece neatbilst ražotāja paredzētajai konstrukcijai vai patērētāja pamatotajām sagaidāmām īpašībām. Patērētāja sagaidāmās īpašības nevar tikt balstītas uz pieņēmumu, ka savienojuma vietā kustības nebūs, ja šāda kustība ir paredzēta konstrukcijā un neietekmē drošību. Komisija secina, ka sabiedrība ir pierādījusi preces atbilstību līguma noteikumiem un nav konstatējama neatbilstība Patērētāju tiesību aizsardzības likuma izpratnē.</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7277C33F" w14:textId="77777777" w:rsidR="00830788" w:rsidRDefault="00830788" w:rsidP="00292A49">
      <w:pPr>
        <w:widowControl/>
        <w:spacing w:after="0" w:line="240" w:lineRule="auto"/>
        <w:jc w:val="both"/>
        <w:rPr>
          <w:rFonts w:ascii="Times New Roman" w:eastAsia="Times New Roman" w:hAnsi="Times New Roman"/>
          <w:b/>
          <w:bCs/>
          <w:sz w:val="24"/>
          <w:lang w:val="lv-LV" w:eastAsia="lv-LV"/>
        </w:rPr>
      </w:pPr>
    </w:p>
    <w:p w14:paraId="731DDA48" w14:textId="0CFDDD52" w:rsidR="007957DB" w:rsidRDefault="00830788" w:rsidP="00292A49">
      <w:pPr>
        <w:widowControl/>
        <w:spacing w:after="0" w:line="240" w:lineRule="auto"/>
        <w:jc w:val="both"/>
        <w:rPr>
          <w:rFonts w:ascii="Times New Roman" w:eastAsia="Times New Roman" w:hAnsi="Times New Roman"/>
          <w:b/>
          <w:bCs/>
          <w:sz w:val="24"/>
          <w:lang w:val="lv-LV" w:eastAsia="lv-LV"/>
        </w:rPr>
      </w:pPr>
      <w:r>
        <w:rPr>
          <w:rFonts w:ascii="Times New Roman" w:eastAsia="Times New Roman" w:hAnsi="Times New Roman"/>
          <w:b/>
          <w:bCs/>
          <w:sz w:val="24"/>
          <w:lang w:val="lv-LV" w:eastAsia="lv-LV"/>
        </w:rPr>
        <w:t>noraidīt</w:t>
      </w:r>
      <w:r w:rsidR="007957DB" w:rsidRPr="007957DB">
        <w:rPr>
          <w:rFonts w:ascii="Times New Roman" w:eastAsia="Times New Roman" w:hAnsi="Times New Roman"/>
          <w:b/>
          <w:bCs/>
          <w:sz w:val="24"/>
          <w:lang w:val="lv-LV" w:eastAsia="lv-LV"/>
        </w:rPr>
        <w:t xml:space="preserve"> patērētāja prasību. </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13EF76D5" w14:textId="77777777" w:rsidR="00B40739" w:rsidRDefault="00B40739" w:rsidP="007957DB">
      <w:pPr>
        <w:widowControl/>
        <w:tabs>
          <w:tab w:val="left" w:pos="6804"/>
        </w:tabs>
        <w:spacing w:before="360" w:after="0" w:line="240" w:lineRule="auto"/>
        <w:jc w:val="center"/>
        <w:rPr>
          <w:i/>
          <w:iCs/>
          <w:lang w:val="lv-LV"/>
        </w:rPr>
      </w:pPr>
    </w:p>
    <w:p w14:paraId="6ED89972" w14:textId="6E6E2E34" w:rsidR="00AE7B78" w:rsidRDefault="00B23182" w:rsidP="007957DB">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AE7B7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4750F" w14:textId="77777777" w:rsidR="00481D1B" w:rsidRDefault="00481D1B">
      <w:pPr>
        <w:spacing w:after="0" w:line="240" w:lineRule="auto"/>
      </w:pPr>
      <w:r>
        <w:separator/>
      </w:r>
    </w:p>
  </w:endnote>
  <w:endnote w:type="continuationSeparator" w:id="0">
    <w:p w14:paraId="6C0A0727" w14:textId="77777777" w:rsidR="00481D1B" w:rsidRDefault="00481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491C5" w14:textId="77777777" w:rsidR="00481D1B" w:rsidRDefault="00481D1B">
      <w:pPr>
        <w:spacing w:after="0" w:line="240" w:lineRule="auto"/>
      </w:pPr>
      <w:r>
        <w:separator/>
      </w:r>
    </w:p>
  </w:footnote>
  <w:footnote w:type="continuationSeparator" w:id="0">
    <w:p w14:paraId="64419C14" w14:textId="77777777" w:rsidR="00481D1B" w:rsidRDefault="00481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53649"/>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1D1B"/>
    <w:rsid w:val="00484A17"/>
    <w:rsid w:val="00495CCD"/>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957DB"/>
    <w:rsid w:val="007A14E4"/>
    <w:rsid w:val="007A4722"/>
    <w:rsid w:val="007A6354"/>
    <w:rsid w:val="007A77C5"/>
    <w:rsid w:val="007B3BA5"/>
    <w:rsid w:val="007B4CF7"/>
    <w:rsid w:val="007B55F0"/>
    <w:rsid w:val="007B7E14"/>
    <w:rsid w:val="007C0298"/>
    <w:rsid w:val="007D3DAA"/>
    <w:rsid w:val="007D4F77"/>
    <w:rsid w:val="007D53F5"/>
    <w:rsid w:val="007E4D1F"/>
    <w:rsid w:val="007E54FC"/>
    <w:rsid w:val="007F0D34"/>
    <w:rsid w:val="0080046C"/>
    <w:rsid w:val="0080787E"/>
    <w:rsid w:val="008079FA"/>
    <w:rsid w:val="00812D34"/>
    <w:rsid w:val="00815277"/>
    <w:rsid w:val="00817C2D"/>
    <w:rsid w:val="008223BD"/>
    <w:rsid w:val="0082406D"/>
    <w:rsid w:val="008243C0"/>
    <w:rsid w:val="008271F1"/>
    <w:rsid w:val="0082787D"/>
    <w:rsid w:val="00830788"/>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3B7E"/>
    <w:rsid w:val="00884320"/>
    <w:rsid w:val="00895922"/>
    <w:rsid w:val="008962EF"/>
    <w:rsid w:val="008A06F3"/>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54230"/>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A07955"/>
    <w:rsid w:val="00A179FB"/>
    <w:rsid w:val="00A21225"/>
    <w:rsid w:val="00A24C3E"/>
    <w:rsid w:val="00A2759B"/>
    <w:rsid w:val="00A34987"/>
    <w:rsid w:val="00A3728F"/>
    <w:rsid w:val="00A37CAD"/>
    <w:rsid w:val="00A42FB6"/>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E7B78"/>
    <w:rsid w:val="00AF411B"/>
    <w:rsid w:val="00AF5FE7"/>
    <w:rsid w:val="00B02035"/>
    <w:rsid w:val="00B03312"/>
    <w:rsid w:val="00B05BE3"/>
    <w:rsid w:val="00B10639"/>
    <w:rsid w:val="00B15FF7"/>
    <w:rsid w:val="00B23182"/>
    <w:rsid w:val="00B23BD6"/>
    <w:rsid w:val="00B24AFA"/>
    <w:rsid w:val="00B40739"/>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0F7E"/>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32A4"/>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3AFC"/>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4022</Characters>
  <Application>Microsoft Office Word</Application>
  <DocSecurity>0</DocSecurity>
  <Lines>70</Lines>
  <Paragraphs>22</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4606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2026-10-15T13:16:00Z</dcterms:created>
  <dcterms:modified xsi:type="dcterms:W3CDTF">2026-10-15T13:16:00Z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